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34" w:rsidRPr="0029096F" w:rsidRDefault="00071D22" w:rsidP="00645BBA">
      <w:pPr>
        <w:pStyle w:val="ab"/>
        <w:widowControl w:val="0"/>
        <w:jc w:val="center"/>
        <w:rPr>
          <w:b/>
          <w:szCs w:val="28"/>
        </w:rPr>
      </w:pPr>
      <w:r>
        <w:rPr>
          <w:b/>
          <w:szCs w:val="28"/>
        </w:rPr>
        <w:t>Итоги деятельности</w:t>
      </w:r>
      <w:bookmarkStart w:id="0" w:name="_GoBack"/>
      <w:bookmarkEnd w:id="0"/>
      <w:r w:rsidR="00412D43" w:rsidRPr="0029096F">
        <w:rPr>
          <w:b/>
          <w:szCs w:val="28"/>
        </w:rPr>
        <w:t xml:space="preserve"> </w:t>
      </w:r>
      <w:r w:rsidR="00DD1B34" w:rsidRPr="0029096F">
        <w:rPr>
          <w:b/>
          <w:szCs w:val="28"/>
        </w:rPr>
        <w:t>за</w:t>
      </w:r>
      <w:r w:rsidR="00412D43" w:rsidRPr="0029096F">
        <w:rPr>
          <w:b/>
          <w:szCs w:val="28"/>
        </w:rPr>
        <w:t xml:space="preserve"> </w:t>
      </w:r>
      <w:r w:rsidR="007A44E6" w:rsidRPr="0029096F">
        <w:rPr>
          <w:b/>
          <w:szCs w:val="28"/>
        </w:rPr>
        <w:t xml:space="preserve">1 квартал </w:t>
      </w:r>
      <w:r w:rsidR="00DD1B34" w:rsidRPr="0029096F">
        <w:rPr>
          <w:b/>
          <w:szCs w:val="28"/>
        </w:rPr>
        <w:t>2</w:t>
      </w:r>
      <w:r w:rsidR="00D56244" w:rsidRPr="0029096F">
        <w:rPr>
          <w:b/>
          <w:szCs w:val="28"/>
        </w:rPr>
        <w:t>01</w:t>
      </w:r>
      <w:r w:rsidR="007A44E6" w:rsidRPr="0029096F">
        <w:rPr>
          <w:b/>
          <w:szCs w:val="28"/>
        </w:rPr>
        <w:t>4</w:t>
      </w:r>
      <w:r w:rsidR="00412D43" w:rsidRPr="0029096F">
        <w:rPr>
          <w:b/>
          <w:szCs w:val="28"/>
        </w:rPr>
        <w:t xml:space="preserve"> </w:t>
      </w:r>
      <w:r w:rsidR="00DD1B34" w:rsidRPr="0029096F">
        <w:rPr>
          <w:b/>
          <w:szCs w:val="28"/>
        </w:rPr>
        <w:t>год</w:t>
      </w:r>
      <w:r w:rsidR="007A44E6" w:rsidRPr="0029096F">
        <w:rPr>
          <w:b/>
          <w:szCs w:val="28"/>
        </w:rPr>
        <w:t>а</w:t>
      </w:r>
    </w:p>
    <w:p w:rsidR="00600A23" w:rsidRDefault="00600A23" w:rsidP="00645BBA">
      <w:pPr>
        <w:pStyle w:val="ab"/>
        <w:widowControl w:val="0"/>
        <w:jc w:val="center"/>
        <w:rPr>
          <w:b/>
          <w:szCs w:val="28"/>
        </w:rPr>
      </w:pPr>
    </w:p>
    <w:p w:rsidR="00C732E8" w:rsidRPr="00A87056" w:rsidRDefault="00C732E8" w:rsidP="00E5022D">
      <w:pPr>
        <w:pStyle w:val="a9"/>
        <w:widowControl w:val="0"/>
        <w:tabs>
          <w:tab w:val="left" w:pos="4860"/>
        </w:tabs>
        <w:ind w:firstLine="720"/>
        <w:rPr>
          <w:b/>
          <w:szCs w:val="28"/>
        </w:rPr>
      </w:pPr>
    </w:p>
    <w:p w:rsidR="00DD1B34" w:rsidRPr="00BA17D1" w:rsidRDefault="00DD1B34" w:rsidP="00E5022D">
      <w:pPr>
        <w:pStyle w:val="a9"/>
        <w:widowControl w:val="0"/>
        <w:tabs>
          <w:tab w:val="left" w:pos="4860"/>
        </w:tabs>
        <w:rPr>
          <w:b/>
          <w:szCs w:val="28"/>
        </w:rPr>
      </w:pPr>
      <w:r w:rsidRPr="00A87056">
        <w:rPr>
          <w:b/>
          <w:szCs w:val="28"/>
        </w:rPr>
        <w:t>Промышленность</w:t>
      </w:r>
    </w:p>
    <w:p w:rsidR="001C734D" w:rsidRPr="00BA17D1" w:rsidRDefault="001C734D" w:rsidP="00E5022D">
      <w:pPr>
        <w:widowControl w:val="0"/>
        <w:spacing w:after="0" w:line="240" w:lineRule="auto"/>
        <w:ind w:firstLine="709"/>
        <w:jc w:val="center"/>
        <w:rPr>
          <w:rFonts w:ascii="Times New Roman" w:hAnsi="Times New Roman" w:cs="Times New Roman"/>
          <w:b/>
          <w:sz w:val="28"/>
          <w:szCs w:val="28"/>
        </w:rPr>
      </w:pPr>
    </w:p>
    <w:p w:rsidR="0029096F" w:rsidRPr="007C2806" w:rsidRDefault="0029096F" w:rsidP="00180A62">
      <w:pPr>
        <w:pStyle w:val="af0"/>
        <w:widowControl w:val="0"/>
        <w:tabs>
          <w:tab w:val="left" w:pos="2700"/>
        </w:tabs>
        <w:spacing w:after="0"/>
        <w:ind w:left="0" w:firstLine="709"/>
        <w:jc w:val="both"/>
        <w:rPr>
          <w:sz w:val="28"/>
          <w:szCs w:val="28"/>
        </w:rPr>
      </w:pPr>
      <w:r w:rsidRPr="007C2806">
        <w:rPr>
          <w:sz w:val="28"/>
          <w:szCs w:val="28"/>
        </w:rPr>
        <w:t>И</w:t>
      </w:r>
      <w:r w:rsidRPr="007C2806">
        <w:rPr>
          <w:bCs/>
          <w:sz w:val="28"/>
          <w:szCs w:val="28"/>
        </w:rPr>
        <w:t>ндекс промышленного производства</w:t>
      </w:r>
      <w:r w:rsidRPr="007C2806">
        <w:rPr>
          <w:sz w:val="28"/>
          <w:szCs w:val="28"/>
        </w:rPr>
        <w:t xml:space="preserve"> по всем видам экономической деятельности за январь-март 2014 года составил 113,4% (второе место в СКФО), в том числе по добыче полезных ископаемых – 114,4%, по обрабатывающим производствам – 117,3%, по производству и распределению электро- и теплоэнергии – 95,9%.</w:t>
      </w:r>
    </w:p>
    <w:p w:rsidR="0029096F" w:rsidRPr="007C2806" w:rsidRDefault="0029096F" w:rsidP="00180A62">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szCs w:val="28"/>
        </w:rPr>
        <w:t xml:space="preserve">Ускоренными темпами в </w:t>
      </w:r>
      <w:r w:rsidR="00180A62">
        <w:rPr>
          <w:rFonts w:ascii="Times New Roman" w:hAnsi="Times New Roman" w:cs="Times New Roman"/>
          <w:sz w:val="28"/>
          <w:szCs w:val="28"/>
          <w:lang w:val="en-US"/>
        </w:rPr>
        <w:t>I</w:t>
      </w:r>
      <w:r w:rsidRPr="007C2806">
        <w:rPr>
          <w:rFonts w:ascii="Times New Roman" w:hAnsi="Times New Roman" w:cs="Times New Roman"/>
          <w:sz w:val="28"/>
          <w:szCs w:val="28"/>
        </w:rPr>
        <w:t xml:space="preserve"> квартале текущего года развивал</w:t>
      </w:r>
      <w:r w:rsidR="0018611E" w:rsidRPr="007C2806">
        <w:rPr>
          <w:rFonts w:ascii="Times New Roman" w:hAnsi="Times New Roman" w:cs="Times New Roman"/>
          <w:sz w:val="28"/>
          <w:szCs w:val="28"/>
        </w:rPr>
        <w:t>ось</w:t>
      </w:r>
      <w:r w:rsidRPr="007C2806">
        <w:rPr>
          <w:rFonts w:ascii="Times New Roman" w:hAnsi="Times New Roman" w:cs="Times New Roman"/>
          <w:sz w:val="28"/>
          <w:szCs w:val="28"/>
        </w:rPr>
        <w:t xml:space="preserve"> металлургическое производство и производство готовых металлических изделий (188,1%), производство пищевых продуктов, включая напитки (173,6%), производство резиновых и пластмассовых изделий (119,0%), обработка древесины и производство изделий из дерева (111,1%), добывающая отрасль (114,4%).</w:t>
      </w:r>
    </w:p>
    <w:p w:rsidR="00180A62" w:rsidRPr="007E15C1" w:rsidRDefault="00180A62" w:rsidP="00180A62">
      <w:pPr>
        <w:pStyle w:val="af0"/>
        <w:tabs>
          <w:tab w:val="left" w:pos="1620"/>
          <w:tab w:val="left" w:pos="2700"/>
        </w:tabs>
        <w:spacing w:after="0"/>
        <w:ind w:left="0" w:firstLine="567"/>
        <w:jc w:val="both"/>
        <w:rPr>
          <w:sz w:val="28"/>
          <w:szCs w:val="28"/>
          <w:lang w:val="ru-RU"/>
        </w:rPr>
      </w:pPr>
      <w:r w:rsidRPr="00222490">
        <w:rPr>
          <w:sz w:val="28"/>
          <w:szCs w:val="28"/>
        </w:rPr>
        <w:t xml:space="preserve">Положительная динамика индекса промышленного производства в обрабатывающих отраслях была обеспечена за счет увеличения к уровню аналогичного периода 2013 года производства вольфрама необработанного в 12,8 раза, безалкогольных напитков – в 4,1 раза, пива – в 3,8 раза, </w:t>
      </w:r>
      <w:r w:rsidR="007E15C1" w:rsidRPr="00222490">
        <w:rPr>
          <w:sz w:val="28"/>
          <w:szCs w:val="28"/>
        </w:rPr>
        <w:t>молибдена необработанного в 2,4 раза, белья постельного – в 1,8 раза,</w:t>
      </w:r>
      <w:r w:rsidR="007E15C1">
        <w:rPr>
          <w:sz w:val="28"/>
          <w:szCs w:val="28"/>
          <w:lang w:val="ru-RU"/>
        </w:rPr>
        <w:t xml:space="preserve"> </w:t>
      </w:r>
      <w:r w:rsidR="007E15C1" w:rsidRPr="00222490">
        <w:rPr>
          <w:sz w:val="28"/>
          <w:szCs w:val="28"/>
        </w:rPr>
        <w:t>бетона товарного – в 1,7 раза</w:t>
      </w:r>
      <w:r w:rsidR="007E15C1">
        <w:rPr>
          <w:sz w:val="28"/>
          <w:szCs w:val="28"/>
          <w:lang w:val="ru-RU"/>
        </w:rPr>
        <w:t>,</w:t>
      </w:r>
      <w:r w:rsidR="007E15C1" w:rsidRPr="00222490">
        <w:rPr>
          <w:sz w:val="28"/>
          <w:szCs w:val="28"/>
        </w:rPr>
        <w:t xml:space="preserve"> конструкций и изделий сборных железобетонных – в 1,6 раза, известняка – в 1,6 раза, </w:t>
      </w:r>
      <w:r w:rsidRPr="00222490">
        <w:rPr>
          <w:sz w:val="28"/>
          <w:szCs w:val="28"/>
        </w:rPr>
        <w:t xml:space="preserve">кондитерских изделий – в 1,5 раза, </w:t>
      </w:r>
      <w:r w:rsidR="007E15C1" w:rsidRPr="00222490">
        <w:rPr>
          <w:sz w:val="28"/>
          <w:szCs w:val="28"/>
        </w:rPr>
        <w:t xml:space="preserve">печатных изданий – на 18,8%, шпона строганного – на 11,1%, </w:t>
      </w:r>
      <w:r w:rsidRPr="00222490">
        <w:rPr>
          <w:sz w:val="28"/>
          <w:szCs w:val="28"/>
        </w:rPr>
        <w:t>масла сливочного – на 10,5%, электрозащитных устройств – на 7,2%</w:t>
      </w:r>
      <w:r w:rsidR="008B11B0">
        <w:rPr>
          <w:sz w:val="28"/>
          <w:szCs w:val="28"/>
          <w:lang w:val="ru-RU"/>
        </w:rPr>
        <w:t>.</w:t>
      </w:r>
      <w:r w:rsidR="007E15C1">
        <w:rPr>
          <w:sz w:val="28"/>
          <w:szCs w:val="28"/>
          <w:lang w:val="ru-RU"/>
        </w:rPr>
        <w:t xml:space="preserve"> </w:t>
      </w:r>
    </w:p>
    <w:p w:rsidR="00694C32" w:rsidRPr="003F4E5C" w:rsidRDefault="00694C32" w:rsidP="00694C32">
      <w:pPr>
        <w:pStyle w:val="af0"/>
        <w:tabs>
          <w:tab w:val="left" w:pos="1620"/>
          <w:tab w:val="left" w:pos="2700"/>
        </w:tabs>
        <w:spacing w:after="0"/>
        <w:ind w:left="0" w:firstLine="567"/>
        <w:jc w:val="both"/>
        <w:rPr>
          <w:sz w:val="28"/>
          <w:szCs w:val="28"/>
        </w:rPr>
      </w:pPr>
      <w:r w:rsidRPr="003F4E5C">
        <w:rPr>
          <w:sz w:val="28"/>
          <w:szCs w:val="28"/>
        </w:rPr>
        <w:t xml:space="preserve">Рост производства вольфрама необработанного связан с выполнением ОАО «Победит» государственного заказа. Увеличение объемов производства отмечен также на «ОАО «Кавдоломит». На предприятии осуществлено переоснащение линии по перемалыванию доломита, что позволило увеличить объемы производства доломитовой муки  в 2,7 раза.  </w:t>
      </w:r>
    </w:p>
    <w:p w:rsidR="00694C32" w:rsidRPr="003F4E5C" w:rsidRDefault="00694C32" w:rsidP="00694C32">
      <w:pPr>
        <w:pStyle w:val="af0"/>
        <w:tabs>
          <w:tab w:val="left" w:pos="1620"/>
          <w:tab w:val="left" w:pos="2700"/>
        </w:tabs>
        <w:spacing w:after="0"/>
        <w:ind w:left="0" w:firstLine="567"/>
        <w:jc w:val="both"/>
        <w:rPr>
          <w:sz w:val="28"/>
          <w:szCs w:val="28"/>
        </w:rPr>
      </w:pPr>
      <w:r w:rsidRPr="003F4E5C">
        <w:rPr>
          <w:sz w:val="28"/>
          <w:szCs w:val="28"/>
        </w:rPr>
        <w:t xml:space="preserve">Вместе с тем, снижение показателей по сравнению с аналогичным периодом прошлого года допущено в производстве водки - на 97,7%, приборов электровакуумных - на 70,6%, спирта этилового ректифицированного - на 47,5%, полотна тюлевого - на 41,8%, вод минеральных – на 37,7%, вин столовых - на 36,8%, кирпича – на 36,6 %, резисторов – на 36,6 %, ящиков из гофрокартона – на 35,0%, пленки полимерной - на 23,3%, материалов строительных нерудных - на 21,4%, серной кислоты – на 15,3%, спирта этилового денатурированного - на 10,9%, цинка на 10,2%, бутылки – на 8,5%, тепловой энергии - на 4,9%, кадмия на – 3,2%, электроэнергии – на 3,1%. </w:t>
      </w:r>
    </w:p>
    <w:p w:rsidR="00014893" w:rsidRPr="003F4E5C" w:rsidRDefault="00014893" w:rsidP="00014893">
      <w:pPr>
        <w:pStyle w:val="af0"/>
        <w:widowControl w:val="0"/>
        <w:tabs>
          <w:tab w:val="left" w:pos="2700"/>
        </w:tabs>
        <w:spacing w:after="0"/>
        <w:ind w:left="0" w:firstLine="567"/>
        <w:jc w:val="both"/>
        <w:rPr>
          <w:sz w:val="28"/>
          <w:szCs w:val="28"/>
        </w:rPr>
      </w:pPr>
      <w:r w:rsidRPr="003F4E5C">
        <w:rPr>
          <w:sz w:val="28"/>
          <w:szCs w:val="28"/>
        </w:rPr>
        <w:t>Существенное снижение производства алкогольной продукции связано с прекращением производственной деятельности ряда предприятий  отрасли в связи с истечением срока действия лицензий на производство алкогольной продукции. Следствием явилось снижение объемов производства тары из гофрированного картона, а также пленки полимерной.</w:t>
      </w:r>
    </w:p>
    <w:p w:rsidR="00014893" w:rsidRPr="00741969" w:rsidRDefault="00014893" w:rsidP="00014893">
      <w:pPr>
        <w:pStyle w:val="af0"/>
        <w:tabs>
          <w:tab w:val="left" w:pos="1620"/>
          <w:tab w:val="left" w:pos="2700"/>
        </w:tabs>
        <w:spacing w:after="0"/>
        <w:ind w:left="0" w:firstLine="567"/>
        <w:jc w:val="both"/>
        <w:rPr>
          <w:sz w:val="28"/>
          <w:szCs w:val="28"/>
        </w:rPr>
      </w:pPr>
      <w:r w:rsidRPr="00741969">
        <w:rPr>
          <w:sz w:val="28"/>
          <w:szCs w:val="28"/>
        </w:rPr>
        <w:lastRenderedPageBreak/>
        <w:t>Объем добычи нерудных строительных материалов снизился на 21,4%. Снижение объемов добычи нерудных строительных материалов отмечено на ООО «Гранит», ООО «Кавказавтодор», ООО «Стабильность», ООО «Стройсервис».</w:t>
      </w:r>
    </w:p>
    <w:p w:rsidR="00014893" w:rsidRPr="00741969" w:rsidRDefault="00014893" w:rsidP="00014893">
      <w:pPr>
        <w:pStyle w:val="af0"/>
        <w:widowControl w:val="0"/>
        <w:tabs>
          <w:tab w:val="left" w:pos="2700"/>
        </w:tabs>
        <w:spacing w:after="0"/>
        <w:ind w:left="0" w:firstLine="567"/>
        <w:jc w:val="both"/>
        <w:rPr>
          <w:sz w:val="28"/>
          <w:szCs w:val="28"/>
        </w:rPr>
      </w:pPr>
      <w:r w:rsidRPr="00741969">
        <w:rPr>
          <w:sz w:val="28"/>
          <w:szCs w:val="28"/>
        </w:rPr>
        <w:t>Основные предприятия добывающей отрасли – ОАО «Кавдоломит», ОАО НПК «Бесланский щебзавод», МУП «Терско-Кумская ПМК», ОАО «Моздокское ДРСУ», ООО «Стройпрогресс».</w:t>
      </w:r>
    </w:p>
    <w:p w:rsidR="0029096F" w:rsidRPr="007C2806" w:rsidRDefault="0029096F" w:rsidP="00180A62">
      <w:pPr>
        <w:pStyle w:val="af0"/>
        <w:widowControl w:val="0"/>
        <w:tabs>
          <w:tab w:val="left" w:pos="2700"/>
        </w:tabs>
        <w:spacing w:after="0"/>
        <w:ind w:left="0" w:firstLine="709"/>
        <w:jc w:val="both"/>
        <w:rPr>
          <w:sz w:val="28"/>
          <w:szCs w:val="28"/>
        </w:rPr>
      </w:pPr>
      <w:r w:rsidRPr="007C2806">
        <w:rPr>
          <w:sz w:val="28"/>
          <w:szCs w:val="28"/>
        </w:rPr>
        <w:t>На электрогенерирующих предприятиях республики в 1 квартале текущего года</w:t>
      </w:r>
      <w:r w:rsidR="00190AA8" w:rsidRPr="007C2806">
        <w:rPr>
          <w:sz w:val="28"/>
          <w:szCs w:val="28"/>
        </w:rPr>
        <w:t xml:space="preserve"> </w:t>
      </w:r>
      <w:r w:rsidRPr="007C2806">
        <w:rPr>
          <w:sz w:val="28"/>
          <w:szCs w:val="28"/>
        </w:rPr>
        <w:t>выработка электроэнергии снизилась на 3,1%, что является следствием недостаточного уровня приточности воды к створам ГЭС.</w:t>
      </w:r>
      <w:r w:rsidR="0018611E" w:rsidRPr="007C2806">
        <w:rPr>
          <w:sz w:val="28"/>
          <w:szCs w:val="28"/>
          <w:lang w:val="ru-RU"/>
        </w:rPr>
        <w:t xml:space="preserve"> </w:t>
      </w:r>
      <w:r w:rsidRPr="007C2806">
        <w:rPr>
          <w:sz w:val="28"/>
          <w:szCs w:val="28"/>
        </w:rPr>
        <w:t>Снижение выработки тепловой энергии на 4,9% обусловлено более высокими температурными показателями в отопительный сезон 2014 года.</w:t>
      </w:r>
    </w:p>
    <w:p w:rsidR="0029096F" w:rsidRPr="007C2806" w:rsidRDefault="0029096F" w:rsidP="00180A62">
      <w:pPr>
        <w:widowControl w:val="0"/>
        <w:spacing w:after="0" w:line="240" w:lineRule="auto"/>
        <w:ind w:firstLine="709"/>
        <w:jc w:val="both"/>
        <w:rPr>
          <w:rFonts w:ascii="Times New Roman" w:hAnsi="Times New Roman" w:cs="Times New Roman"/>
          <w:sz w:val="28"/>
          <w:szCs w:val="28"/>
        </w:rPr>
      </w:pPr>
      <w:r w:rsidRPr="007C2806">
        <w:rPr>
          <w:rFonts w:ascii="Times New Roman" w:hAnsi="Times New Roman" w:cs="Times New Roman"/>
          <w:sz w:val="28"/>
        </w:rPr>
        <w:t>Объём отгруженной промышленной продукции в 1 квартале</w:t>
      </w:r>
      <w:r w:rsidR="00190AA8" w:rsidRPr="007C2806">
        <w:rPr>
          <w:rFonts w:ascii="Times New Roman" w:hAnsi="Times New Roman" w:cs="Times New Roman"/>
          <w:sz w:val="28"/>
        </w:rPr>
        <w:t xml:space="preserve"> </w:t>
      </w:r>
      <w:r w:rsidRPr="007C2806">
        <w:rPr>
          <w:rFonts w:ascii="Times New Roman" w:hAnsi="Times New Roman" w:cs="Times New Roman"/>
          <w:sz w:val="28"/>
        </w:rPr>
        <w:t xml:space="preserve">2014 года </w:t>
      </w:r>
      <w:r w:rsidRPr="007C2806">
        <w:rPr>
          <w:rFonts w:ascii="Times New Roman" w:hAnsi="Times New Roman" w:cs="Times New Roman"/>
          <w:sz w:val="28"/>
          <w:szCs w:val="28"/>
        </w:rPr>
        <w:t xml:space="preserve">достиг 5387,1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что по сравнению с соответствующим периодом прошлого года составляет 105,3%, в том числе по видам экономической деятельности: </w:t>
      </w:r>
      <w:r w:rsidRPr="007C2806">
        <w:rPr>
          <w:rFonts w:ascii="Times New Roman" w:hAnsi="Times New Roman" w:cs="Times New Roman"/>
          <w:bCs/>
          <w:sz w:val="28"/>
          <w:szCs w:val="28"/>
        </w:rPr>
        <w:t xml:space="preserve">по добыче полезных ископаемых – </w:t>
      </w:r>
      <w:r w:rsidRPr="007C2806">
        <w:rPr>
          <w:rFonts w:ascii="Times New Roman" w:hAnsi="Times New Roman" w:cs="Times New Roman"/>
          <w:sz w:val="28"/>
          <w:szCs w:val="28"/>
        </w:rPr>
        <w:t xml:space="preserve">139,6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(123,4%), по обрабатывающим производствам – 3425,3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(89,3%), по производству и распределению электроэнергии, газа и воды 1822,2 </w:t>
      </w:r>
      <w:r w:rsidR="00190AA8" w:rsidRPr="007C2806">
        <w:rPr>
          <w:rFonts w:ascii="Times New Roman" w:hAnsi="Times New Roman" w:cs="Times New Roman"/>
          <w:sz w:val="28"/>
          <w:szCs w:val="28"/>
        </w:rPr>
        <w:t>млн</w:t>
      </w:r>
      <w:r w:rsidRPr="007C2806">
        <w:rPr>
          <w:rFonts w:ascii="Times New Roman" w:hAnsi="Times New Roman" w:cs="Times New Roman"/>
          <w:sz w:val="28"/>
          <w:szCs w:val="28"/>
        </w:rPr>
        <w:t xml:space="preserve"> руб. (156,3%).</w:t>
      </w:r>
    </w:p>
    <w:p w:rsidR="0029096F" w:rsidRPr="007C2806" w:rsidRDefault="0029096F" w:rsidP="00180A62">
      <w:pPr>
        <w:pStyle w:val="11"/>
        <w:widowControl w:val="0"/>
        <w:rPr>
          <w:szCs w:val="28"/>
        </w:rPr>
      </w:pPr>
      <w:r w:rsidRPr="007C2806">
        <w:rPr>
          <w:szCs w:val="28"/>
        </w:rPr>
        <w:t>Удельный вес добычи полезных ископаемых в общем объеме отгруженной промышленной продукции составил 2,6%, обрабатывающих производств – 63,6%,</w:t>
      </w:r>
      <w:r w:rsidR="00190AA8" w:rsidRPr="007C2806">
        <w:rPr>
          <w:szCs w:val="28"/>
        </w:rPr>
        <w:t xml:space="preserve"> </w:t>
      </w:r>
      <w:r w:rsidRPr="007C2806">
        <w:rPr>
          <w:szCs w:val="28"/>
        </w:rPr>
        <w:t>производства и распределения электроэнергии – 33,8%.</w:t>
      </w:r>
    </w:p>
    <w:p w:rsidR="0029096F" w:rsidRPr="000C4833" w:rsidRDefault="0029096F" w:rsidP="00180A62">
      <w:pPr>
        <w:spacing w:after="0" w:line="240" w:lineRule="auto"/>
        <w:ind w:firstLine="709"/>
        <w:jc w:val="both"/>
        <w:rPr>
          <w:rFonts w:ascii="Times New Roman" w:hAnsi="Times New Roman" w:cs="Times New Roman"/>
          <w:sz w:val="28"/>
          <w:szCs w:val="28"/>
        </w:rPr>
      </w:pPr>
      <w:r w:rsidRPr="000C4833">
        <w:rPr>
          <w:rFonts w:ascii="Times New Roman" w:hAnsi="Times New Roman" w:cs="Times New Roman"/>
          <w:sz w:val="28"/>
          <w:szCs w:val="28"/>
        </w:rPr>
        <w:t>За 3 месяца текущего года увеличили объемы производства такие предприятия</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как ООО «Ирафская швейная фабрика» (в 2,5 раза), ОАО</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«НПО-Бином» (в 2,4 раза), ОАО «Одежда» (в 2,2 раза), ОАО «Победит» (178,7%), ОАО «Кавдоломит» (149,8%),</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«Крон» (149,0%), ОАО «Разряд» (134,9%), ЗАО «Рокос» (134,9%), «Янтарь» (132,3%),</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«Радуга» (129,9%), ОАО «Кетон» (124,8%), ОАО «АЗС» (120,9%), ОАО «Иристонстекло» (108,5%), ОАО «Электроконтактор» (106,9%), ООО «ВТЦ Баспик» (106,7%), ОАО «Электроцинк» (102,4%), ОАО «Магнит» (100,9%).</w:t>
      </w:r>
    </w:p>
    <w:p w:rsidR="0029096F" w:rsidRPr="007C2806" w:rsidRDefault="0029096F" w:rsidP="00180A62">
      <w:pPr>
        <w:widowControl w:val="0"/>
        <w:spacing w:after="0" w:line="240" w:lineRule="auto"/>
        <w:ind w:firstLine="709"/>
        <w:jc w:val="both"/>
        <w:rPr>
          <w:rFonts w:ascii="Times New Roman" w:hAnsi="Times New Roman" w:cs="Times New Roman"/>
          <w:sz w:val="28"/>
          <w:szCs w:val="28"/>
        </w:rPr>
      </w:pPr>
      <w:r w:rsidRPr="000C4833">
        <w:rPr>
          <w:rFonts w:ascii="Times New Roman" w:hAnsi="Times New Roman" w:cs="Times New Roman"/>
          <w:sz w:val="28"/>
          <w:szCs w:val="28"/>
        </w:rPr>
        <w:t>Сокращение объемов производства в целом отмечено</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на</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«Моздокские узоры» (81,2%), ОАО «Моздокская швейная фабрика» (90,8%), УПП «ВОС» (81,7%),</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ОАО «Электронкомплекс» (80,5%), ОАО «ВВРЗ» (68,3%), ООО «Сервис Пак» (22,1%), ООО «Луч» (54,6%), ОАО «Пневмооборудование» (70,2%),</w:t>
      </w:r>
      <w:r w:rsidR="00190AA8" w:rsidRPr="000C4833">
        <w:rPr>
          <w:rFonts w:ascii="Times New Roman" w:hAnsi="Times New Roman" w:cs="Times New Roman"/>
          <w:sz w:val="28"/>
          <w:szCs w:val="28"/>
        </w:rPr>
        <w:t xml:space="preserve"> </w:t>
      </w:r>
      <w:r w:rsidRPr="000C4833">
        <w:rPr>
          <w:rFonts w:ascii="Times New Roman" w:hAnsi="Times New Roman" w:cs="Times New Roman"/>
          <w:sz w:val="28"/>
          <w:szCs w:val="28"/>
        </w:rPr>
        <w:t>Бесланском щебзаводе (82,4%).</w:t>
      </w:r>
    </w:p>
    <w:p w:rsidR="00432A38" w:rsidRPr="00432A38" w:rsidRDefault="00432A38" w:rsidP="00432A38">
      <w:pPr>
        <w:spacing w:after="0" w:line="240" w:lineRule="auto"/>
        <w:ind w:firstLine="567"/>
        <w:jc w:val="both"/>
        <w:rPr>
          <w:rFonts w:ascii="Times New Roman" w:hAnsi="Times New Roman" w:cs="Times New Roman"/>
          <w:sz w:val="28"/>
          <w:szCs w:val="28"/>
        </w:rPr>
      </w:pPr>
      <w:r w:rsidRPr="00432A38">
        <w:rPr>
          <w:rFonts w:ascii="Times New Roman" w:hAnsi="Times New Roman" w:cs="Times New Roman"/>
          <w:sz w:val="28"/>
          <w:szCs w:val="28"/>
        </w:rPr>
        <w:t xml:space="preserve">Снижение объемов производства обусловлено сокращением оборонных и государственных заказов на предприятиях оборонно-промышленного комплекса, а также усилением конкуренции вследствие роста импорта в текстильной отрасли. Использование на большинстве предприятий устаревших материалоемких и энергозатратных технологий, удорожание сырья, материалов и энергоносителей способствуют росту себестоимости конечной продукции. </w:t>
      </w:r>
    </w:p>
    <w:p w:rsidR="00432A38" w:rsidRPr="00432A38" w:rsidRDefault="00432A38" w:rsidP="00432A38">
      <w:pPr>
        <w:pStyle w:val="af0"/>
        <w:tabs>
          <w:tab w:val="left" w:pos="720"/>
          <w:tab w:val="left" w:pos="2700"/>
        </w:tabs>
        <w:spacing w:after="0"/>
        <w:ind w:left="0" w:firstLine="567"/>
        <w:jc w:val="both"/>
        <w:rPr>
          <w:sz w:val="28"/>
          <w:szCs w:val="28"/>
        </w:rPr>
      </w:pPr>
      <w:r w:rsidRPr="00432A38">
        <w:rPr>
          <w:sz w:val="28"/>
          <w:szCs w:val="28"/>
        </w:rPr>
        <w:t xml:space="preserve">Отсутствие лицензий у ряда предприятий алкогольной промышленности обусловило снижение спроса на гофротару для республиканской алкогольпроизводящей отрасли. </w:t>
      </w:r>
    </w:p>
    <w:p w:rsidR="00432A38" w:rsidRPr="00432A38" w:rsidRDefault="00432A38" w:rsidP="00432A38">
      <w:pPr>
        <w:pStyle w:val="af0"/>
        <w:tabs>
          <w:tab w:val="left" w:pos="720"/>
          <w:tab w:val="left" w:pos="2700"/>
        </w:tabs>
        <w:spacing w:after="0"/>
        <w:ind w:left="0" w:firstLine="567"/>
        <w:jc w:val="both"/>
        <w:rPr>
          <w:sz w:val="28"/>
          <w:szCs w:val="28"/>
        </w:rPr>
      </w:pPr>
      <w:r w:rsidRPr="00432A38">
        <w:rPr>
          <w:sz w:val="28"/>
          <w:szCs w:val="28"/>
        </w:rPr>
        <w:lastRenderedPageBreak/>
        <w:t>Кроме того, факторами, сдерживающими рост производства, явились повышение тарифов на электроэнергию и транспортные услуги, а также высокая стоимость банковских ресурсов.</w:t>
      </w:r>
    </w:p>
    <w:p w:rsidR="00E5022D" w:rsidRDefault="00E5022D" w:rsidP="00E5022D">
      <w:pPr>
        <w:widowControl w:val="0"/>
        <w:spacing w:after="0" w:line="240" w:lineRule="auto"/>
        <w:jc w:val="center"/>
        <w:rPr>
          <w:rFonts w:ascii="Times New Roman" w:hAnsi="Times New Roman" w:cs="Times New Roman"/>
          <w:b/>
          <w:sz w:val="28"/>
          <w:szCs w:val="28"/>
        </w:rPr>
      </w:pPr>
    </w:p>
    <w:p w:rsidR="00DD1B34" w:rsidRPr="00BA17D1" w:rsidRDefault="00DD1B34" w:rsidP="00E5022D">
      <w:pPr>
        <w:pStyle w:val="3"/>
        <w:keepNext w:val="0"/>
        <w:keepLines w:val="0"/>
        <w:widowControl w:val="0"/>
        <w:spacing w:before="0" w:line="240" w:lineRule="auto"/>
        <w:jc w:val="center"/>
        <w:rPr>
          <w:rFonts w:ascii="Times New Roman" w:hAnsi="Times New Roman" w:cs="Times New Roman"/>
          <w:color w:val="auto"/>
          <w:sz w:val="28"/>
          <w:szCs w:val="28"/>
        </w:rPr>
      </w:pPr>
      <w:r w:rsidRPr="00BA17D1">
        <w:rPr>
          <w:rFonts w:ascii="Times New Roman" w:hAnsi="Times New Roman" w:cs="Times New Roman"/>
          <w:color w:val="auto"/>
          <w:sz w:val="28"/>
          <w:szCs w:val="28"/>
        </w:rPr>
        <w:t>Транспорт</w:t>
      </w:r>
    </w:p>
    <w:p w:rsidR="001C734D" w:rsidRPr="00BA17D1" w:rsidRDefault="001C734D" w:rsidP="00E5022D">
      <w:pPr>
        <w:pStyle w:val="2"/>
        <w:widowControl w:val="0"/>
        <w:spacing w:after="0" w:line="240" w:lineRule="auto"/>
        <w:ind w:left="0"/>
        <w:jc w:val="center"/>
        <w:rPr>
          <w:b/>
          <w:bCs/>
          <w:sz w:val="28"/>
          <w:szCs w:val="28"/>
          <w:lang w:val="ru-RU"/>
        </w:rPr>
      </w:pPr>
    </w:p>
    <w:p w:rsidR="0029096F" w:rsidRPr="00652D7E" w:rsidRDefault="008B11B0" w:rsidP="00CC55D4">
      <w:pPr>
        <w:pStyle w:val="13"/>
        <w:ind w:firstLine="709"/>
        <w:jc w:val="both"/>
        <w:rPr>
          <w:sz w:val="28"/>
          <w:szCs w:val="28"/>
        </w:rPr>
      </w:pPr>
      <w:r>
        <w:rPr>
          <w:sz w:val="28"/>
          <w:szCs w:val="28"/>
        </w:rPr>
        <w:t>В</w:t>
      </w:r>
      <w:r w:rsidR="0029096F" w:rsidRPr="00652D7E">
        <w:rPr>
          <w:sz w:val="28"/>
          <w:szCs w:val="28"/>
        </w:rPr>
        <w:t xml:space="preserve"> </w:t>
      </w:r>
      <w:r w:rsidR="00CC55D4">
        <w:rPr>
          <w:sz w:val="28"/>
          <w:szCs w:val="28"/>
          <w:lang w:val="en-US"/>
        </w:rPr>
        <w:t>I</w:t>
      </w:r>
      <w:r w:rsidR="0029096F" w:rsidRPr="00652D7E">
        <w:rPr>
          <w:sz w:val="28"/>
          <w:szCs w:val="28"/>
        </w:rPr>
        <w:t xml:space="preserve"> квартал</w:t>
      </w:r>
      <w:r>
        <w:rPr>
          <w:sz w:val="28"/>
          <w:szCs w:val="28"/>
        </w:rPr>
        <w:t>е</w:t>
      </w:r>
      <w:r w:rsidR="0029096F" w:rsidRPr="00652D7E">
        <w:rPr>
          <w:sz w:val="28"/>
          <w:szCs w:val="28"/>
        </w:rPr>
        <w:t xml:space="preserve"> 2014 года грузовым автомобильным транспортом организаций всех видов экономической деятельности,</w:t>
      </w:r>
      <w:r w:rsidR="00190AA8" w:rsidRPr="00652D7E">
        <w:rPr>
          <w:sz w:val="28"/>
          <w:szCs w:val="28"/>
        </w:rPr>
        <w:t xml:space="preserve"> </w:t>
      </w:r>
      <w:r w:rsidR="0029096F" w:rsidRPr="00652D7E">
        <w:rPr>
          <w:sz w:val="28"/>
          <w:szCs w:val="28"/>
        </w:rPr>
        <w:t xml:space="preserve">перевезено 250,4 тыс. тонн грузов (70,4% к соответствующему периоду прошлого года). </w:t>
      </w:r>
    </w:p>
    <w:p w:rsidR="0029096F" w:rsidRPr="00652D7E" w:rsidRDefault="0029096F" w:rsidP="00CC55D4">
      <w:pPr>
        <w:pStyle w:val="af5"/>
        <w:spacing w:before="0" w:beforeAutospacing="0" w:after="0" w:afterAutospacing="0"/>
        <w:ind w:firstLine="709"/>
        <w:jc w:val="both"/>
        <w:textAlignment w:val="top"/>
        <w:rPr>
          <w:sz w:val="28"/>
          <w:szCs w:val="28"/>
        </w:rPr>
      </w:pPr>
      <w:r w:rsidRPr="00652D7E">
        <w:rPr>
          <w:sz w:val="28"/>
          <w:szCs w:val="28"/>
        </w:rPr>
        <w:t xml:space="preserve">При этом грузооборот в текущем периоде по сравнению с прошлым снизился до 52,5% и составил 12,3 </w:t>
      </w:r>
      <w:r w:rsidR="00190AA8" w:rsidRPr="00652D7E">
        <w:rPr>
          <w:sz w:val="28"/>
          <w:szCs w:val="28"/>
        </w:rPr>
        <w:t>млн</w:t>
      </w:r>
      <w:r w:rsidRPr="00652D7E">
        <w:rPr>
          <w:sz w:val="28"/>
          <w:szCs w:val="28"/>
        </w:rPr>
        <w:t xml:space="preserve">т-км. </w:t>
      </w:r>
    </w:p>
    <w:p w:rsidR="0029096F" w:rsidRPr="00652D7E" w:rsidRDefault="008B11B0" w:rsidP="00CC55D4">
      <w:pPr>
        <w:pStyle w:val="a7"/>
        <w:widowControl w:val="0"/>
        <w:tabs>
          <w:tab w:val="left" w:pos="1620"/>
        </w:tabs>
        <w:spacing w:after="0"/>
        <w:ind w:firstLine="709"/>
        <w:jc w:val="both"/>
        <w:rPr>
          <w:b/>
          <w:bCs/>
          <w:sz w:val="28"/>
          <w:szCs w:val="28"/>
        </w:rPr>
      </w:pPr>
      <w:r>
        <w:rPr>
          <w:sz w:val="28"/>
          <w:szCs w:val="28"/>
          <w:lang w:val="ru-RU"/>
        </w:rPr>
        <w:t xml:space="preserve">Основной </w:t>
      </w:r>
      <w:r w:rsidRPr="00652D7E">
        <w:rPr>
          <w:sz w:val="28"/>
          <w:szCs w:val="28"/>
        </w:rPr>
        <w:t>причи</w:t>
      </w:r>
      <w:r>
        <w:rPr>
          <w:sz w:val="28"/>
          <w:szCs w:val="28"/>
          <w:lang w:val="ru-RU"/>
        </w:rPr>
        <w:t>ной</w:t>
      </w:r>
      <w:r w:rsidR="0029096F" w:rsidRPr="00652D7E">
        <w:rPr>
          <w:sz w:val="28"/>
          <w:szCs w:val="28"/>
        </w:rPr>
        <w:t xml:space="preserve"> снижения грузооборота </w:t>
      </w:r>
      <w:r>
        <w:rPr>
          <w:sz w:val="28"/>
          <w:szCs w:val="28"/>
          <w:lang w:val="ru-RU"/>
        </w:rPr>
        <w:t>является</w:t>
      </w:r>
      <w:r w:rsidR="0029096F" w:rsidRPr="00652D7E">
        <w:rPr>
          <w:sz w:val="28"/>
          <w:szCs w:val="28"/>
        </w:rPr>
        <w:t xml:space="preserve"> значительный физический износ грузового автотранспорта, использование его для перевозки грузов на более короткие расстояния</w:t>
      </w:r>
      <w:r>
        <w:rPr>
          <w:sz w:val="28"/>
          <w:szCs w:val="28"/>
          <w:lang w:val="ru-RU"/>
        </w:rPr>
        <w:t>.</w:t>
      </w:r>
      <w:r w:rsidR="0029096F" w:rsidRPr="00652D7E">
        <w:rPr>
          <w:sz w:val="28"/>
          <w:szCs w:val="28"/>
        </w:rPr>
        <w:t xml:space="preserve"> Все грузовые перевозки на более дальние расстояния осуществляют частные компании или индивидуальные предприниматели. </w:t>
      </w:r>
    </w:p>
    <w:p w:rsidR="0029096F" w:rsidRPr="00652D7E" w:rsidRDefault="0029096F" w:rsidP="00CC55D4">
      <w:pPr>
        <w:pStyle w:val="af5"/>
        <w:spacing w:before="0" w:beforeAutospacing="0" w:after="0" w:afterAutospacing="0"/>
        <w:ind w:firstLine="709"/>
        <w:jc w:val="both"/>
        <w:textAlignment w:val="top"/>
        <w:rPr>
          <w:sz w:val="28"/>
          <w:szCs w:val="28"/>
        </w:rPr>
      </w:pPr>
      <w:r w:rsidRPr="00652D7E">
        <w:rPr>
          <w:sz w:val="28"/>
          <w:szCs w:val="28"/>
        </w:rPr>
        <w:t xml:space="preserve">Пассажирским автотранспортом предприятий и привлеченных физических лиц в отчетном периоде перевезено 14,4 </w:t>
      </w:r>
      <w:r w:rsidR="00190AA8" w:rsidRPr="00652D7E">
        <w:rPr>
          <w:sz w:val="28"/>
          <w:szCs w:val="28"/>
        </w:rPr>
        <w:t>млн</w:t>
      </w:r>
      <w:r w:rsidRPr="00652D7E">
        <w:rPr>
          <w:sz w:val="28"/>
          <w:szCs w:val="28"/>
        </w:rPr>
        <w:t xml:space="preserve"> пассажиров (91,4%), при этом пассажирооборот составил 103,8%.</w:t>
      </w:r>
    </w:p>
    <w:p w:rsidR="0029096F" w:rsidRPr="00652D7E" w:rsidRDefault="0029096F" w:rsidP="0029096F">
      <w:pPr>
        <w:pStyle w:val="13"/>
        <w:ind w:firstLine="709"/>
        <w:jc w:val="both"/>
        <w:rPr>
          <w:sz w:val="28"/>
          <w:szCs w:val="28"/>
        </w:rPr>
      </w:pPr>
      <w:r w:rsidRPr="00652D7E">
        <w:rPr>
          <w:sz w:val="28"/>
          <w:szCs w:val="28"/>
        </w:rPr>
        <w:t>На сегодняшний день весь республиканский автопарк</w:t>
      </w:r>
      <w:r w:rsidR="00190AA8" w:rsidRPr="00652D7E">
        <w:rPr>
          <w:sz w:val="28"/>
          <w:szCs w:val="28"/>
        </w:rPr>
        <w:t xml:space="preserve"> </w:t>
      </w:r>
      <w:r w:rsidRPr="00652D7E">
        <w:rPr>
          <w:sz w:val="28"/>
          <w:szCs w:val="28"/>
        </w:rPr>
        <w:t xml:space="preserve">базируется на </w:t>
      </w:r>
      <w:r w:rsidR="00CC55D4">
        <w:rPr>
          <w:sz w:val="28"/>
          <w:szCs w:val="28"/>
        </w:rPr>
        <w:t>пя</w:t>
      </w:r>
      <w:r w:rsidRPr="00652D7E">
        <w:rPr>
          <w:sz w:val="28"/>
          <w:szCs w:val="28"/>
        </w:rPr>
        <w:t>ти автотранспортных предприятиях, которые обслуживают 83 автобусных маршрут</w:t>
      </w:r>
      <w:r w:rsidR="00CC55D4">
        <w:rPr>
          <w:sz w:val="28"/>
          <w:szCs w:val="28"/>
        </w:rPr>
        <w:t>а</w:t>
      </w:r>
      <w:r w:rsidRPr="00652D7E">
        <w:rPr>
          <w:sz w:val="28"/>
          <w:szCs w:val="28"/>
        </w:rPr>
        <w:t>, в том числе 8 муниципальных, 59 межмуниципальных (48 из которых являются убыточными), 15</w:t>
      </w:r>
      <w:r w:rsidR="00CC55D4">
        <w:rPr>
          <w:sz w:val="28"/>
          <w:szCs w:val="28"/>
        </w:rPr>
        <w:t xml:space="preserve"> </w:t>
      </w:r>
      <w:r w:rsidRPr="00652D7E">
        <w:rPr>
          <w:sz w:val="28"/>
          <w:szCs w:val="28"/>
        </w:rPr>
        <w:t xml:space="preserve">межсубъектных и 1 международный. </w:t>
      </w:r>
    </w:p>
    <w:p w:rsidR="0029096F" w:rsidRPr="00652D7E" w:rsidRDefault="0029096F" w:rsidP="0029096F">
      <w:pPr>
        <w:spacing w:after="0" w:line="240" w:lineRule="auto"/>
        <w:ind w:firstLine="720"/>
        <w:jc w:val="both"/>
        <w:rPr>
          <w:rFonts w:ascii="Times New Roman" w:hAnsi="Times New Roman" w:cs="Times New Roman"/>
          <w:sz w:val="28"/>
          <w:szCs w:val="28"/>
        </w:rPr>
      </w:pPr>
      <w:r w:rsidRPr="00652D7E">
        <w:rPr>
          <w:rFonts w:ascii="Times New Roman" w:hAnsi="Times New Roman" w:cs="Times New Roman"/>
          <w:sz w:val="28"/>
          <w:szCs w:val="28"/>
        </w:rPr>
        <w:t>Перевозки пассажиров в г.</w:t>
      </w:r>
      <w:r w:rsidR="008B11B0">
        <w:rPr>
          <w:rFonts w:ascii="Times New Roman" w:hAnsi="Times New Roman" w:cs="Times New Roman"/>
          <w:sz w:val="28"/>
          <w:szCs w:val="28"/>
        </w:rPr>
        <w:t xml:space="preserve"> </w:t>
      </w:r>
      <w:r w:rsidRPr="00652D7E">
        <w:rPr>
          <w:rFonts w:ascii="Times New Roman" w:hAnsi="Times New Roman" w:cs="Times New Roman"/>
          <w:sz w:val="28"/>
          <w:szCs w:val="28"/>
        </w:rPr>
        <w:t>Владикавказе осуществляют ВМУП «ВладАвтоТранс», привлеченный частный транспорт по 44 автобусным маршрутам и ВМУП «ВладЭлектроТранс» по трамвайным маршрутам.</w:t>
      </w:r>
    </w:p>
    <w:p w:rsidR="0029096F" w:rsidRPr="00652D7E" w:rsidRDefault="0029096F" w:rsidP="0029096F">
      <w:pPr>
        <w:pStyle w:val="a7"/>
        <w:widowControl w:val="0"/>
        <w:tabs>
          <w:tab w:val="left" w:pos="1620"/>
        </w:tabs>
        <w:spacing w:after="0"/>
        <w:ind w:firstLine="567"/>
        <w:jc w:val="both"/>
        <w:rPr>
          <w:sz w:val="28"/>
          <w:szCs w:val="28"/>
        </w:rPr>
      </w:pPr>
      <w:r w:rsidRPr="00652D7E">
        <w:rPr>
          <w:sz w:val="28"/>
          <w:szCs w:val="28"/>
        </w:rPr>
        <w:t xml:space="preserve">Износ </w:t>
      </w:r>
      <w:r w:rsidR="008B11B0">
        <w:rPr>
          <w:sz w:val="28"/>
          <w:szCs w:val="28"/>
          <w:lang w:val="ru-RU"/>
        </w:rPr>
        <w:t>авто</w:t>
      </w:r>
      <w:r w:rsidRPr="00652D7E">
        <w:rPr>
          <w:sz w:val="28"/>
          <w:szCs w:val="28"/>
        </w:rPr>
        <w:t xml:space="preserve">парка составляет свыше 80%, что влечет за собой увеличение затрат на ремонт и обслуживание, ухудшение качества обслуживания пассажиров, отсутствие гарантий безопасности, а в конечном итоге приводит к снижению рентабельности и конкурентоспособности перевозок. </w:t>
      </w:r>
      <w:r w:rsidRPr="00652D7E">
        <w:rPr>
          <w:spacing w:val="-5"/>
          <w:sz w:val="28"/>
          <w:szCs w:val="28"/>
        </w:rPr>
        <w:t xml:space="preserve">Негативное влияние оказывает также значительный рост </w:t>
      </w:r>
      <w:r w:rsidRPr="00652D7E">
        <w:rPr>
          <w:spacing w:val="-2"/>
          <w:sz w:val="28"/>
          <w:szCs w:val="28"/>
        </w:rPr>
        <w:t xml:space="preserve">цен на </w:t>
      </w:r>
      <w:r w:rsidRPr="00652D7E">
        <w:rPr>
          <w:spacing w:val="3"/>
          <w:sz w:val="28"/>
          <w:szCs w:val="28"/>
        </w:rPr>
        <w:t>топливо, материалы и запасные части</w:t>
      </w:r>
      <w:r w:rsidRPr="00652D7E">
        <w:rPr>
          <w:sz w:val="28"/>
          <w:szCs w:val="28"/>
        </w:rPr>
        <w:t>.</w:t>
      </w:r>
    </w:p>
    <w:p w:rsidR="0029096F" w:rsidRPr="00652D7E" w:rsidRDefault="0029096F" w:rsidP="0029096F">
      <w:pPr>
        <w:widowControl w:val="0"/>
        <w:spacing w:after="0" w:line="240" w:lineRule="auto"/>
        <w:ind w:firstLine="567"/>
        <w:jc w:val="both"/>
        <w:rPr>
          <w:rFonts w:ascii="Times New Roman" w:hAnsi="Times New Roman" w:cs="Times New Roman"/>
          <w:sz w:val="28"/>
          <w:szCs w:val="28"/>
        </w:rPr>
      </w:pPr>
      <w:r w:rsidRPr="00652D7E">
        <w:rPr>
          <w:rFonts w:ascii="Times New Roman" w:hAnsi="Times New Roman" w:cs="Times New Roman"/>
          <w:sz w:val="28"/>
          <w:szCs w:val="28"/>
        </w:rPr>
        <w:t>Однако снижению убыточности способствует господдержка из республиканского бюджета в виде субсидий на возмещение потерь, понесенных автотранспортным предприятием при перевозке пассажиров по межмуниципальным маршрутам.</w:t>
      </w:r>
    </w:p>
    <w:p w:rsidR="0029096F" w:rsidRPr="00652D7E" w:rsidRDefault="0029096F" w:rsidP="0029096F">
      <w:pPr>
        <w:pStyle w:val="a7"/>
        <w:tabs>
          <w:tab w:val="left" w:pos="1620"/>
        </w:tabs>
        <w:spacing w:after="0"/>
        <w:ind w:firstLine="709"/>
        <w:jc w:val="both"/>
        <w:rPr>
          <w:sz w:val="28"/>
          <w:szCs w:val="28"/>
        </w:rPr>
      </w:pPr>
      <w:r w:rsidRPr="00652D7E">
        <w:rPr>
          <w:sz w:val="28"/>
          <w:szCs w:val="28"/>
        </w:rPr>
        <w:t xml:space="preserve">За </w:t>
      </w:r>
      <w:r w:rsidR="00CC55D4">
        <w:rPr>
          <w:sz w:val="28"/>
          <w:szCs w:val="28"/>
          <w:lang w:val="en-US"/>
        </w:rPr>
        <w:t>I</w:t>
      </w:r>
      <w:r w:rsidRPr="00652D7E">
        <w:rPr>
          <w:sz w:val="28"/>
          <w:szCs w:val="28"/>
        </w:rPr>
        <w:t xml:space="preserve"> квартал текущего года перевозка</w:t>
      </w:r>
      <w:r w:rsidR="00190AA8" w:rsidRPr="00652D7E">
        <w:rPr>
          <w:sz w:val="28"/>
          <w:szCs w:val="28"/>
        </w:rPr>
        <w:t xml:space="preserve"> </w:t>
      </w:r>
      <w:r w:rsidRPr="00652D7E">
        <w:rPr>
          <w:sz w:val="28"/>
          <w:szCs w:val="28"/>
        </w:rPr>
        <w:t>пассажиров горэлектротранспортом по сравнению с прошлым годом сни</w:t>
      </w:r>
      <w:r w:rsidR="00CC55D4">
        <w:rPr>
          <w:sz w:val="28"/>
          <w:szCs w:val="28"/>
          <w:lang w:val="ru-RU"/>
        </w:rPr>
        <w:t>зилась</w:t>
      </w:r>
      <w:r w:rsidRPr="00652D7E">
        <w:rPr>
          <w:sz w:val="28"/>
          <w:szCs w:val="28"/>
        </w:rPr>
        <w:t xml:space="preserve"> на 14,5 % за счет </w:t>
      </w:r>
      <w:r w:rsidR="00CC55D4">
        <w:rPr>
          <w:sz w:val="28"/>
          <w:szCs w:val="28"/>
          <w:lang w:val="ru-RU"/>
        </w:rPr>
        <w:t>уменьшения</w:t>
      </w:r>
      <w:r w:rsidRPr="00652D7E">
        <w:rPr>
          <w:sz w:val="28"/>
          <w:szCs w:val="28"/>
        </w:rPr>
        <w:t xml:space="preserve"> выпуска вагонов на линию на 13,7%, рос</w:t>
      </w:r>
      <w:r w:rsidR="00CC55D4">
        <w:rPr>
          <w:sz w:val="28"/>
          <w:szCs w:val="28"/>
          <w:lang w:val="ru-RU"/>
        </w:rPr>
        <w:t>та</w:t>
      </w:r>
      <w:r w:rsidRPr="00652D7E">
        <w:rPr>
          <w:sz w:val="28"/>
          <w:szCs w:val="28"/>
        </w:rPr>
        <w:t xml:space="preserve"> возврат</w:t>
      </w:r>
      <w:r w:rsidR="00CC55D4">
        <w:rPr>
          <w:sz w:val="28"/>
          <w:szCs w:val="28"/>
          <w:lang w:val="ru-RU"/>
        </w:rPr>
        <w:t>ов</w:t>
      </w:r>
      <w:r w:rsidRPr="00652D7E">
        <w:rPr>
          <w:sz w:val="28"/>
          <w:szCs w:val="28"/>
        </w:rPr>
        <w:t xml:space="preserve"> подвижного состава по технической неисправности на 14,9%, увелич</w:t>
      </w:r>
      <w:r w:rsidR="00CC55D4">
        <w:rPr>
          <w:sz w:val="28"/>
          <w:szCs w:val="28"/>
          <w:lang w:val="ru-RU"/>
        </w:rPr>
        <w:t>ения</w:t>
      </w:r>
      <w:r w:rsidRPr="00652D7E">
        <w:rPr>
          <w:sz w:val="28"/>
          <w:szCs w:val="28"/>
        </w:rPr>
        <w:t xml:space="preserve"> случа</w:t>
      </w:r>
      <w:r w:rsidR="00CC55D4">
        <w:rPr>
          <w:sz w:val="28"/>
          <w:szCs w:val="28"/>
          <w:lang w:val="ru-RU"/>
        </w:rPr>
        <w:t>ев</w:t>
      </w:r>
      <w:r w:rsidRPr="00652D7E">
        <w:rPr>
          <w:sz w:val="28"/>
          <w:szCs w:val="28"/>
        </w:rPr>
        <w:t xml:space="preserve"> сходов</w:t>
      </w:r>
      <w:r w:rsidR="00190AA8" w:rsidRPr="00652D7E">
        <w:rPr>
          <w:sz w:val="28"/>
          <w:szCs w:val="28"/>
        </w:rPr>
        <w:t xml:space="preserve"> </w:t>
      </w:r>
      <w:r w:rsidRPr="00652D7E">
        <w:rPr>
          <w:sz w:val="28"/>
          <w:szCs w:val="28"/>
        </w:rPr>
        <w:t>вагонов с рельсов.</w:t>
      </w:r>
      <w:r w:rsidR="00190AA8" w:rsidRPr="00652D7E">
        <w:rPr>
          <w:sz w:val="28"/>
          <w:szCs w:val="28"/>
        </w:rPr>
        <w:t xml:space="preserve"> </w:t>
      </w:r>
    </w:p>
    <w:p w:rsidR="0029096F" w:rsidRPr="00652D7E" w:rsidRDefault="0029096F" w:rsidP="00D009EF">
      <w:pPr>
        <w:pStyle w:val="af5"/>
        <w:widowControl w:val="0"/>
        <w:spacing w:before="0" w:beforeAutospacing="0" w:after="0" w:afterAutospacing="0"/>
        <w:jc w:val="both"/>
        <w:textAlignment w:val="top"/>
        <w:rPr>
          <w:sz w:val="28"/>
          <w:szCs w:val="28"/>
        </w:rPr>
      </w:pPr>
      <w:r w:rsidRPr="00652D7E">
        <w:rPr>
          <w:sz w:val="28"/>
          <w:szCs w:val="28"/>
        </w:rPr>
        <w:tab/>
        <w:t>В рамках</w:t>
      </w:r>
      <w:r w:rsidR="00190AA8" w:rsidRPr="00652D7E">
        <w:rPr>
          <w:sz w:val="28"/>
          <w:szCs w:val="28"/>
        </w:rPr>
        <w:t xml:space="preserve"> </w:t>
      </w:r>
      <w:r w:rsidRPr="00652D7E">
        <w:rPr>
          <w:sz w:val="28"/>
          <w:szCs w:val="28"/>
        </w:rPr>
        <w:t xml:space="preserve">реализации мероприятий «Комплексной программы обеспечения безопасности населения на транспорте» для повышения антитеррористической защищенности объектов транспортной </w:t>
      </w:r>
      <w:r w:rsidRPr="00652D7E">
        <w:rPr>
          <w:sz w:val="28"/>
          <w:szCs w:val="28"/>
        </w:rPr>
        <w:lastRenderedPageBreak/>
        <w:t xml:space="preserve">инфраструктуры </w:t>
      </w:r>
      <w:r w:rsidR="00DB2C3C">
        <w:rPr>
          <w:sz w:val="28"/>
          <w:szCs w:val="28"/>
        </w:rPr>
        <w:t>а</w:t>
      </w:r>
      <w:r w:rsidRPr="00652D7E">
        <w:rPr>
          <w:sz w:val="28"/>
          <w:szCs w:val="28"/>
        </w:rPr>
        <w:t>втовокзал №1 г.</w:t>
      </w:r>
      <w:r w:rsidR="008B11B0">
        <w:rPr>
          <w:sz w:val="28"/>
          <w:szCs w:val="28"/>
        </w:rPr>
        <w:t xml:space="preserve"> </w:t>
      </w:r>
      <w:r w:rsidRPr="00652D7E">
        <w:rPr>
          <w:sz w:val="28"/>
          <w:szCs w:val="28"/>
        </w:rPr>
        <w:t>Владикавказ</w:t>
      </w:r>
      <w:r w:rsidR="00DB2C3C">
        <w:rPr>
          <w:sz w:val="28"/>
          <w:szCs w:val="28"/>
        </w:rPr>
        <w:t>а</w:t>
      </w:r>
      <w:r w:rsidRPr="00652D7E">
        <w:rPr>
          <w:sz w:val="28"/>
          <w:szCs w:val="28"/>
        </w:rPr>
        <w:t xml:space="preserve"> оснащен инженерно-техническими средствами обеспечения транспортной безопасности. На его базе создан диспетчерский центр навигационного контроля междугородных пассажирских перевозок с использованием аппаратуры спутниковой навигации ГЛОНАСС/GPS.</w:t>
      </w:r>
      <w:r w:rsidR="00190AA8" w:rsidRPr="00652D7E">
        <w:rPr>
          <w:sz w:val="28"/>
          <w:szCs w:val="28"/>
        </w:rPr>
        <w:t xml:space="preserve"> </w:t>
      </w:r>
      <w:r w:rsidRPr="00652D7E">
        <w:rPr>
          <w:sz w:val="28"/>
          <w:szCs w:val="28"/>
        </w:rPr>
        <w:t xml:space="preserve">К нему подключены автобусы, осуществляющие межсубъектные перевозки. </w:t>
      </w:r>
    </w:p>
    <w:p w:rsidR="00CC55D4" w:rsidRPr="00652D7E" w:rsidRDefault="00CC55D4" w:rsidP="0029096F">
      <w:pPr>
        <w:pStyle w:val="2"/>
        <w:widowControl w:val="0"/>
        <w:spacing w:after="0" w:line="240" w:lineRule="auto"/>
        <w:ind w:left="0"/>
        <w:jc w:val="center"/>
        <w:rPr>
          <w:b/>
          <w:bCs/>
          <w:sz w:val="28"/>
          <w:szCs w:val="28"/>
          <w:lang w:val="ru-RU"/>
        </w:rPr>
      </w:pPr>
    </w:p>
    <w:p w:rsidR="00DD1B34" w:rsidRPr="00652D7E" w:rsidRDefault="00DD1B34" w:rsidP="00E5022D">
      <w:pPr>
        <w:pStyle w:val="2"/>
        <w:widowControl w:val="0"/>
        <w:spacing w:after="0" w:line="240" w:lineRule="auto"/>
        <w:ind w:left="0"/>
        <w:jc w:val="center"/>
        <w:rPr>
          <w:b/>
          <w:bCs/>
          <w:sz w:val="28"/>
          <w:szCs w:val="28"/>
        </w:rPr>
      </w:pPr>
      <w:r w:rsidRPr="00652D7E">
        <w:rPr>
          <w:b/>
          <w:bCs/>
          <w:sz w:val="28"/>
          <w:szCs w:val="28"/>
        </w:rPr>
        <w:t>Связь</w:t>
      </w:r>
    </w:p>
    <w:p w:rsidR="00DD1B34" w:rsidRPr="00652D7E" w:rsidRDefault="00DD1B34" w:rsidP="00E5022D">
      <w:pPr>
        <w:widowControl w:val="0"/>
        <w:spacing w:after="0" w:line="240" w:lineRule="auto"/>
        <w:jc w:val="center"/>
        <w:rPr>
          <w:rFonts w:ascii="Times New Roman" w:hAnsi="Times New Roman" w:cs="Times New Roman"/>
          <w:b/>
          <w:sz w:val="28"/>
          <w:szCs w:val="28"/>
        </w:rPr>
      </w:pP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Республика занимает одно из лидирующих мест среди субъектов Российской Федерации по уровню телефонизации населения. Зона покрытия составляет более 95% республиканской территории (в том числе труднодоступные горные районы) и сигналом 3</w:t>
      </w:r>
      <w:r w:rsidRPr="00652D7E">
        <w:rPr>
          <w:rFonts w:ascii="Times New Roman" w:hAnsi="Times New Roman" w:cs="Times New Roman"/>
          <w:sz w:val="28"/>
          <w:szCs w:val="28"/>
          <w:lang w:val="en-US"/>
        </w:rPr>
        <w:t>G</w:t>
      </w:r>
      <w:r w:rsidRPr="00652D7E">
        <w:rPr>
          <w:rFonts w:ascii="Times New Roman" w:hAnsi="Times New Roman" w:cs="Times New Roman"/>
          <w:sz w:val="28"/>
          <w:szCs w:val="28"/>
        </w:rPr>
        <w:t xml:space="preserve"> – порядка 75%.</w:t>
      </w: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Общий объем оказанных всеми организациями услуг связи за</w:t>
      </w:r>
      <w:r w:rsidR="00190AA8" w:rsidRPr="00652D7E">
        <w:rPr>
          <w:rFonts w:ascii="Times New Roman" w:hAnsi="Times New Roman" w:cs="Times New Roman"/>
          <w:sz w:val="28"/>
          <w:szCs w:val="28"/>
        </w:rPr>
        <w:t xml:space="preserve"> </w:t>
      </w:r>
      <w:r w:rsidR="00B53863">
        <w:rPr>
          <w:rFonts w:ascii="Times New Roman" w:hAnsi="Times New Roman" w:cs="Times New Roman"/>
          <w:sz w:val="28"/>
          <w:szCs w:val="28"/>
          <w:lang w:val="en-US"/>
        </w:rPr>
        <w:t>I</w:t>
      </w:r>
      <w:r w:rsidRPr="00652D7E">
        <w:rPr>
          <w:rFonts w:ascii="Times New Roman" w:hAnsi="Times New Roman" w:cs="Times New Roman"/>
          <w:sz w:val="28"/>
          <w:szCs w:val="28"/>
        </w:rPr>
        <w:t xml:space="preserve"> квартал</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2014 год</w:t>
      </w:r>
      <w:r w:rsidR="00B53863">
        <w:rPr>
          <w:rFonts w:ascii="Times New Roman" w:hAnsi="Times New Roman" w:cs="Times New Roman"/>
          <w:sz w:val="28"/>
          <w:szCs w:val="28"/>
        </w:rPr>
        <w:t>а</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составил 1</w:t>
      </w:r>
      <w:r w:rsidR="00B53863">
        <w:rPr>
          <w:rFonts w:ascii="Times New Roman" w:hAnsi="Times New Roman" w:cs="Times New Roman"/>
          <w:sz w:val="28"/>
          <w:szCs w:val="28"/>
        </w:rPr>
        <w:t> </w:t>
      </w:r>
      <w:r w:rsidRPr="00652D7E">
        <w:rPr>
          <w:rFonts w:ascii="Times New Roman" w:hAnsi="Times New Roman" w:cs="Times New Roman"/>
          <w:sz w:val="28"/>
          <w:szCs w:val="28"/>
        </w:rPr>
        <w:t xml:space="preserve">497,5 </w:t>
      </w:r>
      <w:r w:rsidR="00190AA8" w:rsidRPr="00652D7E">
        <w:rPr>
          <w:rFonts w:ascii="Times New Roman" w:hAnsi="Times New Roman" w:cs="Times New Roman"/>
          <w:sz w:val="28"/>
          <w:szCs w:val="28"/>
        </w:rPr>
        <w:t>млн</w:t>
      </w:r>
      <w:r w:rsidRPr="00652D7E">
        <w:rPr>
          <w:rFonts w:ascii="Times New Roman" w:hAnsi="Times New Roman" w:cs="Times New Roman"/>
          <w:sz w:val="28"/>
          <w:szCs w:val="28"/>
        </w:rPr>
        <w:t xml:space="preserve"> рублей, что на 8,0 % больше, чем в предыдущем году.</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На территории республики действует четыре оператора подвижной сотовой связи с клиентской базой 980 тыс.</w:t>
      </w:r>
      <w:r w:rsidR="00B53863">
        <w:rPr>
          <w:rFonts w:ascii="Times New Roman" w:hAnsi="Times New Roman" w:cs="Times New Roman"/>
          <w:sz w:val="28"/>
          <w:szCs w:val="28"/>
        </w:rPr>
        <w:t xml:space="preserve"> абонентов</w:t>
      </w:r>
      <w:r w:rsidRPr="00652D7E">
        <w:rPr>
          <w:rFonts w:ascii="Times New Roman" w:hAnsi="Times New Roman" w:cs="Times New Roman"/>
          <w:sz w:val="28"/>
          <w:szCs w:val="28"/>
        </w:rPr>
        <w:t>, в том числе ОАО «МТС» - 349 тыс. абонент</w:t>
      </w:r>
      <w:r w:rsidR="00B53863">
        <w:rPr>
          <w:rFonts w:ascii="Times New Roman" w:hAnsi="Times New Roman" w:cs="Times New Roman"/>
          <w:sz w:val="28"/>
          <w:szCs w:val="28"/>
        </w:rPr>
        <w:t>ов</w:t>
      </w:r>
      <w:r w:rsidRPr="00652D7E">
        <w:rPr>
          <w:rFonts w:ascii="Times New Roman" w:hAnsi="Times New Roman" w:cs="Times New Roman"/>
          <w:sz w:val="28"/>
          <w:szCs w:val="28"/>
        </w:rPr>
        <w:t>, ОАО «МегаФон» - 286,3 тыс</w:t>
      </w:r>
      <w:r w:rsidR="00B53863">
        <w:rPr>
          <w:rFonts w:ascii="Times New Roman" w:hAnsi="Times New Roman" w:cs="Times New Roman"/>
          <w:sz w:val="28"/>
          <w:szCs w:val="28"/>
        </w:rPr>
        <w:t>. абонентов</w:t>
      </w:r>
      <w:r w:rsidRPr="00652D7E">
        <w:rPr>
          <w:rFonts w:ascii="Times New Roman" w:hAnsi="Times New Roman" w:cs="Times New Roman"/>
          <w:sz w:val="28"/>
          <w:szCs w:val="28"/>
        </w:rPr>
        <w:t>, ОАО «Вымпелком» - 340 тыс.</w:t>
      </w:r>
      <w:r w:rsidR="00B53863">
        <w:rPr>
          <w:rFonts w:ascii="Times New Roman" w:hAnsi="Times New Roman" w:cs="Times New Roman"/>
          <w:sz w:val="28"/>
          <w:szCs w:val="28"/>
        </w:rPr>
        <w:t xml:space="preserve"> абонентов, </w:t>
      </w:r>
      <w:r w:rsidRPr="00652D7E">
        <w:rPr>
          <w:rFonts w:ascii="Times New Roman" w:hAnsi="Times New Roman" w:cs="Times New Roman"/>
          <w:sz w:val="28"/>
          <w:szCs w:val="28"/>
        </w:rPr>
        <w:t>ЗАО «Астарта» - 4,7 тыс. абонентов.</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Доминирующее положение на рынке услуг подвижной радиотелефонной связи на территории республики занимает ОАО «МТС», удельный вес оборота которого составляет 42,2% от общих объемов оборота организаций, предоставляющих услуги сотовой связи, на ОАО «Мегафон» приходится 30,6% оборота, на ОАО «ВымпелКом» - 26,5%, ЗАО «Астарта» - 0,7%.</w:t>
      </w:r>
    </w:p>
    <w:p w:rsidR="0029096F" w:rsidRPr="00652D7E" w:rsidRDefault="0029096F" w:rsidP="008B11B0">
      <w:pPr>
        <w:pStyle w:val="BodyText21"/>
        <w:numPr>
          <w:ilvl w:val="12"/>
          <w:numId w:val="0"/>
        </w:numPr>
        <w:tabs>
          <w:tab w:val="left" w:pos="1620"/>
        </w:tabs>
        <w:ind w:firstLine="709"/>
        <w:rPr>
          <w:sz w:val="28"/>
          <w:szCs w:val="28"/>
        </w:rPr>
      </w:pPr>
      <w:r w:rsidRPr="00652D7E">
        <w:rPr>
          <w:sz w:val="28"/>
          <w:szCs w:val="28"/>
        </w:rPr>
        <w:t>Существенную позицию</w:t>
      </w:r>
      <w:r w:rsidR="00190AA8" w:rsidRPr="00652D7E">
        <w:rPr>
          <w:sz w:val="28"/>
          <w:szCs w:val="28"/>
        </w:rPr>
        <w:t xml:space="preserve"> </w:t>
      </w:r>
      <w:r w:rsidRPr="00652D7E">
        <w:rPr>
          <w:sz w:val="28"/>
          <w:szCs w:val="28"/>
        </w:rPr>
        <w:t xml:space="preserve">по оказанию услуг связи, как фиксированной телефонной, так и широкополосного доступа к сети Интернет, занимает Северо-Осетинский филиал ОАО «Ростелеком», удельный вес которого в общем объеме услуг связи составляет 20%. За </w:t>
      </w:r>
      <w:r w:rsidR="00B53863">
        <w:rPr>
          <w:sz w:val="28"/>
          <w:szCs w:val="28"/>
          <w:lang w:val="en-US"/>
        </w:rPr>
        <w:t>I</w:t>
      </w:r>
      <w:r w:rsidRPr="00652D7E">
        <w:rPr>
          <w:sz w:val="28"/>
          <w:szCs w:val="28"/>
        </w:rPr>
        <w:t xml:space="preserve"> квартал 2014</w:t>
      </w:r>
      <w:r w:rsidR="00B53863" w:rsidRPr="00B53863">
        <w:rPr>
          <w:sz w:val="28"/>
          <w:szCs w:val="28"/>
        </w:rPr>
        <w:t xml:space="preserve"> </w:t>
      </w:r>
      <w:r w:rsidRPr="00652D7E">
        <w:rPr>
          <w:sz w:val="28"/>
          <w:szCs w:val="28"/>
        </w:rPr>
        <w:t>г</w:t>
      </w:r>
      <w:r w:rsidR="00B53863">
        <w:rPr>
          <w:sz w:val="28"/>
          <w:szCs w:val="28"/>
        </w:rPr>
        <w:t>ода</w:t>
      </w:r>
      <w:r w:rsidRPr="00652D7E">
        <w:rPr>
          <w:sz w:val="28"/>
          <w:szCs w:val="28"/>
        </w:rPr>
        <w:t xml:space="preserve"> </w:t>
      </w:r>
      <w:r w:rsidR="00B53863">
        <w:rPr>
          <w:sz w:val="28"/>
          <w:szCs w:val="28"/>
        </w:rPr>
        <w:t>филиалом</w:t>
      </w:r>
      <w:r w:rsidRPr="00652D7E">
        <w:rPr>
          <w:sz w:val="28"/>
          <w:szCs w:val="28"/>
        </w:rPr>
        <w:t xml:space="preserve"> </w:t>
      </w:r>
      <w:r w:rsidRPr="00652D7E">
        <w:rPr>
          <w:spacing w:val="-6"/>
          <w:sz w:val="28"/>
          <w:szCs w:val="28"/>
        </w:rPr>
        <w:t>п</w:t>
      </w:r>
      <w:r w:rsidRPr="00652D7E">
        <w:rPr>
          <w:sz w:val="28"/>
          <w:szCs w:val="28"/>
        </w:rPr>
        <w:t>редоставлено услуг связи</w:t>
      </w:r>
      <w:r w:rsidR="00190AA8" w:rsidRPr="00652D7E">
        <w:rPr>
          <w:sz w:val="28"/>
          <w:szCs w:val="28"/>
        </w:rPr>
        <w:t xml:space="preserve"> </w:t>
      </w:r>
      <w:r w:rsidRPr="00652D7E">
        <w:rPr>
          <w:sz w:val="28"/>
          <w:szCs w:val="28"/>
        </w:rPr>
        <w:t xml:space="preserve">на сумму 301,3 </w:t>
      </w:r>
      <w:r w:rsidR="00190AA8" w:rsidRPr="00652D7E">
        <w:rPr>
          <w:sz w:val="28"/>
          <w:szCs w:val="28"/>
        </w:rPr>
        <w:t>млн</w:t>
      </w:r>
      <w:r w:rsidRPr="00652D7E">
        <w:rPr>
          <w:sz w:val="28"/>
          <w:szCs w:val="28"/>
        </w:rPr>
        <w:t xml:space="preserve"> рублей (102,5% к соответствующему периоду прошлого года),</w:t>
      </w:r>
      <w:r w:rsidR="00190AA8" w:rsidRPr="00652D7E">
        <w:rPr>
          <w:sz w:val="28"/>
          <w:szCs w:val="28"/>
        </w:rPr>
        <w:t xml:space="preserve"> </w:t>
      </w:r>
      <w:r w:rsidRPr="00652D7E">
        <w:rPr>
          <w:sz w:val="28"/>
          <w:szCs w:val="28"/>
        </w:rPr>
        <w:t xml:space="preserve">из них объем услуг связи, предоставленный населению, составил 188,2 </w:t>
      </w:r>
      <w:r w:rsidR="00190AA8" w:rsidRPr="00652D7E">
        <w:rPr>
          <w:sz w:val="28"/>
          <w:szCs w:val="28"/>
        </w:rPr>
        <w:t>млн</w:t>
      </w:r>
      <w:r w:rsidRPr="00652D7E">
        <w:rPr>
          <w:sz w:val="28"/>
          <w:szCs w:val="28"/>
        </w:rPr>
        <w:t xml:space="preserve"> рублей (95,5% к уровню </w:t>
      </w:r>
      <w:r w:rsidR="00B53863">
        <w:rPr>
          <w:sz w:val="28"/>
          <w:szCs w:val="28"/>
          <w:lang w:val="en-US"/>
        </w:rPr>
        <w:t>I</w:t>
      </w:r>
      <w:r w:rsidRPr="00652D7E">
        <w:rPr>
          <w:sz w:val="28"/>
          <w:szCs w:val="28"/>
        </w:rPr>
        <w:t xml:space="preserve"> квартала</w:t>
      </w:r>
      <w:r w:rsidR="00190AA8" w:rsidRPr="00652D7E">
        <w:rPr>
          <w:sz w:val="28"/>
          <w:szCs w:val="28"/>
        </w:rPr>
        <w:t xml:space="preserve"> </w:t>
      </w:r>
      <w:r w:rsidRPr="00652D7E">
        <w:rPr>
          <w:sz w:val="28"/>
          <w:szCs w:val="28"/>
        </w:rPr>
        <w:t>2013 года).</w:t>
      </w:r>
    </w:p>
    <w:p w:rsidR="0029096F" w:rsidRPr="00652D7E" w:rsidRDefault="0029096F" w:rsidP="008B11B0">
      <w:pPr>
        <w:pStyle w:val="BodyText21"/>
        <w:numPr>
          <w:ilvl w:val="12"/>
          <w:numId w:val="0"/>
        </w:numPr>
        <w:tabs>
          <w:tab w:val="left" w:pos="1620"/>
        </w:tabs>
        <w:ind w:firstLine="709"/>
        <w:rPr>
          <w:sz w:val="28"/>
          <w:szCs w:val="28"/>
        </w:rPr>
      </w:pPr>
      <w:r w:rsidRPr="00652D7E">
        <w:rPr>
          <w:sz w:val="28"/>
          <w:szCs w:val="28"/>
        </w:rPr>
        <w:t xml:space="preserve">За </w:t>
      </w:r>
      <w:r w:rsidR="00B53863">
        <w:rPr>
          <w:sz w:val="28"/>
          <w:szCs w:val="28"/>
          <w:lang w:val="en-US"/>
        </w:rPr>
        <w:t>I</w:t>
      </w:r>
      <w:r w:rsidRPr="00652D7E">
        <w:rPr>
          <w:sz w:val="28"/>
          <w:szCs w:val="28"/>
        </w:rPr>
        <w:t xml:space="preserve"> квартал 2014 года</w:t>
      </w:r>
      <w:r w:rsidR="00190AA8" w:rsidRPr="00652D7E">
        <w:rPr>
          <w:sz w:val="28"/>
          <w:szCs w:val="28"/>
        </w:rPr>
        <w:t xml:space="preserve"> </w:t>
      </w:r>
      <w:r w:rsidR="00B53863">
        <w:rPr>
          <w:sz w:val="28"/>
          <w:szCs w:val="28"/>
        </w:rPr>
        <w:t>на территории</w:t>
      </w:r>
      <w:r w:rsidRPr="00652D7E">
        <w:rPr>
          <w:sz w:val="28"/>
          <w:szCs w:val="28"/>
        </w:rPr>
        <w:t xml:space="preserve"> республик</w:t>
      </w:r>
      <w:r w:rsidR="00B53863">
        <w:rPr>
          <w:sz w:val="28"/>
          <w:szCs w:val="28"/>
        </w:rPr>
        <w:t>и</w:t>
      </w:r>
      <w:r w:rsidRPr="00652D7E">
        <w:rPr>
          <w:sz w:val="28"/>
          <w:szCs w:val="28"/>
        </w:rPr>
        <w:t xml:space="preserve"> установлено</w:t>
      </w:r>
      <w:r w:rsidR="00190AA8" w:rsidRPr="00652D7E">
        <w:rPr>
          <w:sz w:val="28"/>
          <w:szCs w:val="28"/>
        </w:rPr>
        <w:t xml:space="preserve"> </w:t>
      </w:r>
      <w:r w:rsidRPr="00652D7E">
        <w:rPr>
          <w:sz w:val="28"/>
          <w:szCs w:val="28"/>
        </w:rPr>
        <w:t>1</w:t>
      </w:r>
      <w:r w:rsidR="00B53863">
        <w:rPr>
          <w:sz w:val="28"/>
          <w:szCs w:val="28"/>
        </w:rPr>
        <w:t> </w:t>
      </w:r>
      <w:r w:rsidRPr="00652D7E">
        <w:rPr>
          <w:sz w:val="28"/>
          <w:szCs w:val="28"/>
        </w:rPr>
        <w:t xml:space="preserve">045 телефонов (87,4% к </w:t>
      </w:r>
      <w:r w:rsidR="00B53863">
        <w:rPr>
          <w:sz w:val="28"/>
          <w:szCs w:val="28"/>
          <w:lang w:val="en-US"/>
        </w:rPr>
        <w:t>I</w:t>
      </w:r>
      <w:r w:rsidRPr="00652D7E">
        <w:rPr>
          <w:sz w:val="28"/>
          <w:szCs w:val="28"/>
        </w:rPr>
        <w:t xml:space="preserve"> кварталу прошлого года),</w:t>
      </w:r>
      <w:r w:rsidR="00190AA8" w:rsidRPr="00652D7E">
        <w:rPr>
          <w:sz w:val="28"/>
          <w:szCs w:val="28"/>
        </w:rPr>
        <w:t xml:space="preserve"> </w:t>
      </w:r>
      <w:r w:rsidRPr="00652D7E">
        <w:rPr>
          <w:sz w:val="28"/>
          <w:szCs w:val="28"/>
        </w:rPr>
        <w:t>в том числе: по ГТС – 781 телефон (87,4%), из них населению – 557</w:t>
      </w:r>
      <w:r w:rsidR="00190AA8" w:rsidRPr="00652D7E">
        <w:rPr>
          <w:sz w:val="28"/>
          <w:szCs w:val="28"/>
        </w:rPr>
        <w:t xml:space="preserve"> </w:t>
      </w:r>
      <w:r w:rsidRPr="00652D7E">
        <w:rPr>
          <w:sz w:val="28"/>
          <w:szCs w:val="28"/>
        </w:rPr>
        <w:t>(86,5%); по СТС – 264 (87,4%), в том числе населению – 253 (90%).</w:t>
      </w:r>
      <w:r w:rsidR="00B53863">
        <w:rPr>
          <w:sz w:val="28"/>
          <w:szCs w:val="28"/>
        </w:rPr>
        <w:t xml:space="preserve"> </w:t>
      </w:r>
    </w:p>
    <w:p w:rsidR="0029096F" w:rsidRPr="00652D7E" w:rsidRDefault="0029096F" w:rsidP="008B11B0">
      <w:pPr>
        <w:widowControl w:val="0"/>
        <w:shd w:val="clear" w:color="auto" w:fill="FFFFFF"/>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В результате снижения стоимости ежемесячной платы, развития и продвижения услуг широкополосного доступа по технологии </w:t>
      </w:r>
      <w:r w:rsidRPr="00652D7E">
        <w:rPr>
          <w:rFonts w:ascii="Times New Roman" w:hAnsi="Times New Roman" w:cs="Times New Roman"/>
          <w:sz w:val="28"/>
          <w:szCs w:val="28"/>
          <w:lang w:val="en-US"/>
        </w:rPr>
        <w:t>xDSL</w:t>
      </w:r>
      <w:r w:rsidRPr="00652D7E">
        <w:rPr>
          <w:rFonts w:ascii="Times New Roman" w:hAnsi="Times New Roman" w:cs="Times New Roman"/>
          <w:sz w:val="28"/>
          <w:szCs w:val="28"/>
        </w:rPr>
        <w:t>, увеличения числа бесплатных подключений к сети Интернет, рост</w:t>
      </w:r>
      <w:r w:rsidR="00B53863">
        <w:rPr>
          <w:rFonts w:ascii="Times New Roman" w:hAnsi="Times New Roman" w:cs="Times New Roman"/>
          <w:sz w:val="28"/>
          <w:szCs w:val="28"/>
        </w:rPr>
        <w:t xml:space="preserve"> </w:t>
      </w:r>
      <w:r w:rsidRPr="00652D7E">
        <w:rPr>
          <w:rFonts w:ascii="Times New Roman" w:hAnsi="Times New Roman" w:cs="Times New Roman"/>
          <w:sz w:val="28"/>
          <w:szCs w:val="28"/>
        </w:rPr>
        <w:t>доходов от услуг Интернет составил 104,7 % к уровню прошлого года.</w:t>
      </w:r>
    </w:p>
    <w:p w:rsidR="0029096F" w:rsidRPr="00652D7E" w:rsidRDefault="0029096F" w:rsidP="008B11B0">
      <w:pPr>
        <w:pStyle w:val="BodyText21"/>
        <w:numPr>
          <w:ilvl w:val="12"/>
          <w:numId w:val="0"/>
        </w:numPr>
        <w:tabs>
          <w:tab w:val="left" w:pos="1620"/>
        </w:tabs>
        <w:ind w:firstLine="709"/>
        <w:rPr>
          <w:sz w:val="28"/>
          <w:szCs w:val="28"/>
        </w:rPr>
      </w:pPr>
      <w:r w:rsidRPr="00652D7E">
        <w:t xml:space="preserve"> </w:t>
      </w:r>
      <w:r w:rsidRPr="00652D7E">
        <w:rPr>
          <w:sz w:val="28"/>
          <w:szCs w:val="28"/>
        </w:rPr>
        <w:t xml:space="preserve">В планах всех операторов на 2014 год заложены средства на развитие инфраструктуры сотовой связи – это строительство новых базовых станций </w:t>
      </w:r>
      <w:r w:rsidRPr="00652D7E">
        <w:rPr>
          <w:sz w:val="28"/>
          <w:szCs w:val="28"/>
        </w:rPr>
        <w:lastRenderedPageBreak/>
        <w:t>для увеличения зоны покрытия сотовой связью,</w:t>
      </w:r>
      <w:r w:rsidR="00190AA8" w:rsidRPr="00652D7E">
        <w:rPr>
          <w:sz w:val="28"/>
          <w:szCs w:val="28"/>
        </w:rPr>
        <w:t xml:space="preserve"> </w:t>
      </w:r>
      <w:r w:rsidRPr="00652D7E">
        <w:rPr>
          <w:sz w:val="28"/>
          <w:szCs w:val="28"/>
        </w:rPr>
        <w:t xml:space="preserve">как на открытой, так и в труднодоступной горной местности, увеличение зоны покрытия сигналом 3G. </w:t>
      </w:r>
    </w:p>
    <w:p w:rsidR="0029096F" w:rsidRPr="00652D7E" w:rsidRDefault="0029096F" w:rsidP="008B11B0">
      <w:pPr>
        <w:tabs>
          <w:tab w:val="left" w:pos="1620"/>
        </w:tabs>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Активно растет рынок </w:t>
      </w:r>
      <w:r w:rsidRPr="00652D7E">
        <w:rPr>
          <w:rFonts w:ascii="Times New Roman" w:hAnsi="Times New Roman" w:cs="Times New Roman"/>
          <w:sz w:val="28"/>
          <w:szCs w:val="28"/>
          <w:lang w:val="en-US"/>
        </w:rPr>
        <w:t>IP</w:t>
      </w:r>
      <w:r w:rsidRPr="00652D7E">
        <w:rPr>
          <w:rFonts w:ascii="Times New Roman" w:hAnsi="Times New Roman" w:cs="Times New Roman"/>
          <w:sz w:val="28"/>
          <w:szCs w:val="28"/>
        </w:rPr>
        <w:t xml:space="preserve"> – телефонии. Развивается сектор услуг по обеспечению высокоскоростного доступа к сети Интернет. Количество пользователей по состоянию на 1 апреля</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2014 года составляет свыше 400 тыс.</w:t>
      </w:r>
      <w:r w:rsidR="00B53863">
        <w:rPr>
          <w:rFonts w:ascii="Times New Roman" w:hAnsi="Times New Roman" w:cs="Times New Roman"/>
          <w:sz w:val="28"/>
          <w:szCs w:val="28"/>
        </w:rPr>
        <w:t xml:space="preserve"> абонентов</w:t>
      </w:r>
      <w:r w:rsidRPr="00652D7E">
        <w:rPr>
          <w:rFonts w:ascii="Times New Roman" w:hAnsi="Times New Roman" w:cs="Times New Roman"/>
          <w:sz w:val="28"/>
          <w:szCs w:val="28"/>
        </w:rPr>
        <w:t>, в том числе количество пользователей широкополосного доступа к сети интернет –109,4 тыс</w:t>
      </w:r>
      <w:r w:rsidR="00B53863">
        <w:rPr>
          <w:rFonts w:ascii="Times New Roman" w:hAnsi="Times New Roman" w:cs="Times New Roman"/>
          <w:sz w:val="28"/>
          <w:szCs w:val="28"/>
        </w:rPr>
        <w:t>. аблонентов</w:t>
      </w:r>
      <w:r w:rsidRPr="00652D7E">
        <w:rPr>
          <w:rFonts w:ascii="Times New Roman" w:hAnsi="Times New Roman" w:cs="Times New Roman"/>
          <w:sz w:val="28"/>
          <w:szCs w:val="28"/>
        </w:rPr>
        <w:t>, мобильным доступом к сети интернет (сигналом3</w:t>
      </w:r>
      <w:r w:rsidRPr="00652D7E">
        <w:rPr>
          <w:rFonts w:ascii="Times New Roman" w:hAnsi="Times New Roman" w:cs="Times New Roman"/>
          <w:sz w:val="28"/>
          <w:szCs w:val="28"/>
          <w:lang w:val="en-US"/>
        </w:rPr>
        <w:t>G</w:t>
      </w:r>
      <w:r w:rsidRPr="00652D7E">
        <w:rPr>
          <w:rFonts w:ascii="Times New Roman" w:hAnsi="Times New Roman" w:cs="Times New Roman"/>
          <w:sz w:val="28"/>
          <w:szCs w:val="28"/>
        </w:rPr>
        <w:t>) пользуется</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310 тыс.</w:t>
      </w:r>
      <w:r w:rsidR="00B53863">
        <w:rPr>
          <w:rFonts w:ascii="Times New Roman" w:hAnsi="Times New Roman" w:cs="Times New Roman"/>
          <w:sz w:val="28"/>
          <w:szCs w:val="28"/>
        </w:rPr>
        <w:t xml:space="preserve"> абонентов.</w:t>
      </w: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Услуги широкополосного доступа к сети </w:t>
      </w:r>
      <w:r w:rsidR="00B53863">
        <w:rPr>
          <w:rFonts w:ascii="Times New Roman" w:hAnsi="Times New Roman" w:cs="Times New Roman"/>
          <w:sz w:val="28"/>
          <w:szCs w:val="28"/>
        </w:rPr>
        <w:t>И</w:t>
      </w:r>
      <w:r w:rsidRPr="00652D7E">
        <w:rPr>
          <w:rFonts w:ascii="Times New Roman" w:hAnsi="Times New Roman" w:cs="Times New Roman"/>
          <w:sz w:val="28"/>
          <w:szCs w:val="28"/>
        </w:rPr>
        <w:t>нтернет на территории республики предоставляют 4 оператора: филиал ОАО «Ростелеком» (56,8 тыс. пользователей, прирост составил 2,2% по</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сравнению с прошлым годом), ООО «ТВИНГО телеком» (30,1 тыс. пользователей – 10 %),</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ООО «Иртелком» (22 тыс. пользователей - 11%), ООО «Телеком-Алания» (500 пользователей).</w:t>
      </w:r>
    </w:p>
    <w:p w:rsidR="0029096F" w:rsidRPr="00652D7E" w:rsidRDefault="0029096F" w:rsidP="008B11B0">
      <w:pPr>
        <w:pStyle w:val="af5"/>
        <w:widowControl w:val="0"/>
        <w:spacing w:before="0" w:beforeAutospacing="0" w:after="0" w:afterAutospacing="0"/>
        <w:ind w:firstLine="709"/>
        <w:jc w:val="both"/>
        <w:rPr>
          <w:sz w:val="28"/>
          <w:szCs w:val="28"/>
        </w:rPr>
      </w:pPr>
      <w:r w:rsidRPr="00652D7E">
        <w:rPr>
          <w:sz w:val="28"/>
          <w:szCs w:val="28"/>
        </w:rPr>
        <w:t>В целях реализации мероприятий, направленных на развитие информатизации, создано государственное унитарное предприятие «Центр информационных технологий», являющееся</w:t>
      </w:r>
      <w:r w:rsidRPr="00652D7E">
        <w:rPr>
          <w:rStyle w:val="FontStyle11"/>
          <w:sz w:val="28"/>
          <w:szCs w:val="28"/>
        </w:rPr>
        <w:t xml:space="preserve"> уполномоченной организацией по внедрению универсальной электронной карты (УЭК). </w:t>
      </w:r>
      <w:r w:rsidRPr="00652D7E">
        <w:rPr>
          <w:sz w:val="28"/>
          <w:szCs w:val="28"/>
        </w:rPr>
        <w:t>Реализованы мероприятия по внедрению в органах государственной власти единой системы электронного документооборота (СЭД).</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Услугами почтовой связи охвачена вся территория республики. В настоящее время в составе Северо-Осетинского филиала ФГУП «Почта России» 5 почтамтов, из которых 3 - межрайонные, 171 отделение почтовой связи.</w:t>
      </w:r>
    </w:p>
    <w:p w:rsidR="0029096F" w:rsidRPr="00652D7E" w:rsidRDefault="0029096F" w:rsidP="008B11B0">
      <w:pPr>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Трансляция телерадиопрограмм на территории республики осуществляется посредством</w:t>
      </w:r>
      <w:r w:rsidR="00190AA8" w:rsidRPr="00652D7E">
        <w:rPr>
          <w:rFonts w:ascii="Times New Roman" w:hAnsi="Times New Roman" w:cs="Times New Roman"/>
          <w:sz w:val="28"/>
          <w:szCs w:val="28"/>
        </w:rPr>
        <w:t xml:space="preserve"> </w:t>
      </w:r>
      <w:r w:rsidRPr="00652D7E">
        <w:rPr>
          <w:rFonts w:ascii="Times New Roman" w:hAnsi="Times New Roman" w:cs="Times New Roman"/>
          <w:sz w:val="28"/>
          <w:szCs w:val="28"/>
        </w:rPr>
        <w:t>140 телевизионных и радиовещательных приемопередающих станций, в том числе 62 спутниковыми станциями приема цифровых сигналов. В эксплуатационно-техническом обслуживании находится 40 антенно-мачтовых сооружений, размещенных на объектах филиала по всей республике. Северная Осетия одна из первых запустила цифровое вещание на Юге страны. До конца 2014 года вся территория республики будет покрыта цифровым телевизионным сигналом, что особо актуально для тех районов, в которые такой сигнал по ряду технических причин в настоящее время не подается.</w:t>
      </w:r>
    </w:p>
    <w:p w:rsidR="0029096F" w:rsidRPr="00652D7E" w:rsidRDefault="0029096F" w:rsidP="008B11B0">
      <w:pPr>
        <w:shd w:val="clear" w:color="auto" w:fill="FFFFFF"/>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shd w:val="clear" w:color="auto" w:fill="FFFFFF"/>
        </w:rPr>
        <w:t xml:space="preserve">Услуга подключения к цифровому телевидению предоставляется тремя компаниями: «Ростелеком», «Иртелком» и «ТВИНГО Телеком». </w:t>
      </w:r>
    </w:p>
    <w:p w:rsidR="0029096F" w:rsidRPr="00652D7E" w:rsidRDefault="0029096F" w:rsidP="008B11B0">
      <w:pPr>
        <w:widowControl w:val="0"/>
        <w:spacing w:after="0" w:line="240" w:lineRule="auto"/>
        <w:ind w:firstLine="709"/>
        <w:jc w:val="both"/>
        <w:rPr>
          <w:rFonts w:ascii="Times New Roman" w:hAnsi="Times New Roman" w:cs="Times New Roman"/>
          <w:sz w:val="28"/>
          <w:szCs w:val="28"/>
        </w:rPr>
      </w:pPr>
      <w:r w:rsidRPr="00652D7E">
        <w:rPr>
          <w:rFonts w:ascii="Times New Roman" w:hAnsi="Times New Roman" w:cs="Times New Roman"/>
          <w:sz w:val="28"/>
          <w:szCs w:val="28"/>
        </w:rPr>
        <w:t xml:space="preserve">Вместе с тем, несмотря на положительную динамику развития отрасли, остаются проблемы физического износа до аварийного состояния основной республиканской телерадиотрансляционной мачты и необеспеченность ряда горных районов системами ретрансляции государственных теле- и радиопрограмм. </w:t>
      </w:r>
    </w:p>
    <w:p w:rsidR="001E2925" w:rsidRPr="00652D7E" w:rsidRDefault="001E2925" w:rsidP="008B11B0">
      <w:pPr>
        <w:widowControl w:val="0"/>
        <w:spacing w:after="0" w:line="240" w:lineRule="auto"/>
        <w:ind w:firstLine="709"/>
      </w:pPr>
    </w:p>
    <w:p w:rsidR="00652D7E" w:rsidRDefault="00652D7E" w:rsidP="00E5022D">
      <w:pPr>
        <w:widowControl w:val="0"/>
        <w:spacing w:after="0" w:line="240" w:lineRule="auto"/>
        <w:jc w:val="center"/>
        <w:rPr>
          <w:rFonts w:ascii="Times New Roman" w:hAnsi="Times New Roman" w:cs="Times New Roman"/>
          <w:b/>
          <w:sz w:val="28"/>
          <w:szCs w:val="28"/>
        </w:rPr>
      </w:pPr>
    </w:p>
    <w:p w:rsidR="00652D7E" w:rsidRDefault="00652D7E" w:rsidP="00E5022D">
      <w:pPr>
        <w:widowControl w:val="0"/>
        <w:spacing w:after="0" w:line="240" w:lineRule="auto"/>
        <w:jc w:val="center"/>
        <w:rPr>
          <w:rFonts w:ascii="Times New Roman" w:hAnsi="Times New Roman" w:cs="Times New Roman"/>
          <w:b/>
          <w:sz w:val="28"/>
          <w:szCs w:val="28"/>
        </w:rPr>
      </w:pPr>
    </w:p>
    <w:p w:rsidR="004E112D" w:rsidRPr="00652D7E" w:rsidRDefault="004E112D" w:rsidP="002C7402">
      <w:pPr>
        <w:widowControl w:val="0"/>
        <w:tabs>
          <w:tab w:val="left" w:pos="1620"/>
        </w:tabs>
        <w:spacing w:after="0" w:line="240" w:lineRule="auto"/>
        <w:ind w:firstLine="709"/>
        <w:jc w:val="both"/>
        <w:rPr>
          <w:rFonts w:ascii="Times New Roman" w:hAnsi="Times New Roman" w:cs="Times New Roman"/>
          <w:sz w:val="28"/>
          <w:szCs w:val="28"/>
        </w:rPr>
      </w:pPr>
    </w:p>
    <w:p w:rsidR="006E7864" w:rsidRPr="00151C6C" w:rsidRDefault="006E7864" w:rsidP="00645BBA">
      <w:pPr>
        <w:pStyle w:val="ConsPlusNormal"/>
        <w:widowControl w:val="0"/>
        <w:ind w:firstLine="0"/>
        <w:jc w:val="center"/>
        <w:outlineLvl w:val="0"/>
        <w:rPr>
          <w:rFonts w:ascii="Times New Roman" w:hAnsi="Times New Roman" w:cs="Times New Roman"/>
          <w:b/>
          <w:sz w:val="28"/>
          <w:szCs w:val="28"/>
        </w:rPr>
      </w:pPr>
      <w:r w:rsidRPr="00652D7E">
        <w:rPr>
          <w:rFonts w:ascii="Times New Roman" w:hAnsi="Times New Roman" w:cs="Times New Roman"/>
          <w:b/>
          <w:sz w:val="28"/>
          <w:szCs w:val="28"/>
        </w:rPr>
        <w:t>__________________________</w:t>
      </w:r>
    </w:p>
    <w:sectPr w:rsidR="006E7864" w:rsidRPr="00151C6C" w:rsidSect="00C516B3">
      <w:head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1C" w:rsidRDefault="0057331C" w:rsidP="00CC3160">
      <w:pPr>
        <w:spacing w:after="0" w:line="240" w:lineRule="auto"/>
      </w:pPr>
      <w:r>
        <w:separator/>
      </w:r>
    </w:p>
  </w:endnote>
  <w:endnote w:type="continuationSeparator" w:id="0">
    <w:p w:rsidR="0057331C" w:rsidRDefault="0057331C" w:rsidP="00CC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1C" w:rsidRDefault="0057331C" w:rsidP="00CC3160">
      <w:pPr>
        <w:spacing w:after="0" w:line="240" w:lineRule="auto"/>
      </w:pPr>
      <w:r>
        <w:separator/>
      </w:r>
    </w:p>
  </w:footnote>
  <w:footnote w:type="continuationSeparator" w:id="0">
    <w:p w:rsidR="0057331C" w:rsidRDefault="0057331C" w:rsidP="00CC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Batang" w:hAnsi="Times New Roman" w:cs="Times New Roman"/>
        <w:sz w:val="28"/>
        <w:szCs w:val="28"/>
      </w:rPr>
      <w:id w:val="-1986613270"/>
      <w:docPartObj>
        <w:docPartGallery w:val="Page Numbers (Top of Page)"/>
        <w:docPartUnique/>
      </w:docPartObj>
    </w:sdtPr>
    <w:sdtEndPr/>
    <w:sdtContent>
      <w:p w:rsidR="00197469" w:rsidRPr="003614E1" w:rsidRDefault="00197469">
        <w:pPr>
          <w:pStyle w:val="a3"/>
          <w:jc w:val="center"/>
          <w:rPr>
            <w:rFonts w:ascii="Times New Roman" w:eastAsia="Batang" w:hAnsi="Times New Roman" w:cs="Times New Roman"/>
            <w:sz w:val="28"/>
            <w:szCs w:val="28"/>
          </w:rPr>
        </w:pPr>
        <w:r w:rsidRPr="003614E1">
          <w:rPr>
            <w:rFonts w:ascii="Times New Roman" w:eastAsia="Batang" w:hAnsi="Times New Roman" w:cs="Times New Roman"/>
            <w:sz w:val="28"/>
            <w:szCs w:val="28"/>
          </w:rPr>
          <w:fldChar w:fldCharType="begin"/>
        </w:r>
        <w:r w:rsidRPr="003614E1">
          <w:rPr>
            <w:rFonts w:ascii="Times New Roman" w:eastAsia="Batang" w:hAnsi="Times New Roman" w:cs="Times New Roman"/>
            <w:sz w:val="28"/>
            <w:szCs w:val="28"/>
          </w:rPr>
          <w:instrText>PAGE   \* MERGEFORMAT</w:instrText>
        </w:r>
        <w:r w:rsidRPr="003614E1">
          <w:rPr>
            <w:rFonts w:ascii="Times New Roman" w:eastAsia="Batang" w:hAnsi="Times New Roman" w:cs="Times New Roman"/>
            <w:sz w:val="28"/>
            <w:szCs w:val="28"/>
          </w:rPr>
          <w:fldChar w:fldCharType="separate"/>
        </w:r>
        <w:r w:rsidR="00071D22">
          <w:rPr>
            <w:rFonts w:ascii="Times New Roman" w:eastAsia="Batang" w:hAnsi="Times New Roman" w:cs="Times New Roman"/>
            <w:noProof/>
            <w:sz w:val="28"/>
            <w:szCs w:val="28"/>
          </w:rPr>
          <w:t>6</w:t>
        </w:r>
        <w:r w:rsidRPr="003614E1">
          <w:rPr>
            <w:rFonts w:ascii="Times New Roman" w:eastAsia="Batang" w:hAnsi="Times New Roman" w:cs="Times New Roman"/>
            <w:sz w:val="28"/>
            <w:szCs w:val="28"/>
          </w:rPr>
          <w:fldChar w:fldCharType="end"/>
        </w:r>
      </w:p>
    </w:sdtContent>
  </w:sdt>
  <w:p w:rsidR="00197469" w:rsidRDefault="001974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B8"/>
    <w:rsid w:val="000070D5"/>
    <w:rsid w:val="00014893"/>
    <w:rsid w:val="00015DBA"/>
    <w:rsid w:val="0001613C"/>
    <w:rsid w:val="00016D61"/>
    <w:rsid w:val="00022E07"/>
    <w:rsid w:val="00024A80"/>
    <w:rsid w:val="0002587C"/>
    <w:rsid w:val="00034B10"/>
    <w:rsid w:val="00035018"/>
    <w:rsid w:val="00036096"/>
    <w:rsid w:val="00047899"/>
    <w:rsid w:val="00050E3E"/>
    <w:rsid w:val="00051073"/>
    <w:rsid w:val="0005408E"/>
    <w:rsid w:val="000546DE"/>
    <w:rsid w:val="00062A35"/>
    <w:rsid w:val="00071D22"/>
    <w:rsid w:val="000768C6"/>
    <w:rsid w:val="00077C28"/>
    <w:rsid w:val="0008652A"/>
    <w:rsid w:val="000902F9"/>
    <w:rsid w:val="000A1DB1"/>
    <w:rsid w:val="000A6781"/>
    <w:rsid w:val="000A711D"/>
    <w:rsid w:val="000B0626"/>
    <w:rsid w:val="000B2FAD"/>
    <w:rsid w:val="000B3EAB"/>
    <w:rsid w:val="000B5332"/>
    <w:rsid w:val="000B7800"/>
    <w:rsid w:val="000C478F"/>
    <w:rsid w:val="000C4833"/>
    <w:rsid w:val="000C7272"/>
    <w:rsid w:val="000C7412"/>
    <w:rsid w:val="000D228B"/>
    <w:rsid w:val="000D2682"/>
    <w:rsid w:val="000E05B5"/>
    <w:rsid w:val="000E1EB3"/>
    <w:rsid w:val="000E2972"/>
    <w:rsid w:val="000E2E6A"/>
    <w:rsid w:val="000E561D"/>
    <w:rsid w:val="000E7418"/>
    <w:rsid w:val="000F1148"/>
    <w:rsid w:val="000F4CA1"/>
    <w:rsid w:val="000F7150"/>
    <w:rsid w:val="001119AA"/>
    <w:rsid w:val="00113263"/>
    <w:rsid w:val="00117339"/>
    <w:rsid w:val="00117EE3"/>
    <w:rsid w:val="00122C59"/>
    <w:rsid w:val="00124EE5"/>
    <w:rsid w:val="00127F7C"/>
    <w:rsid w:val="0013614E"/>
    <w:rsid w:val="00140177"/>
    <w:rsid w:val="001452DF"/>
    <w:rsid w:val="00147405"/>
    <w:rsid w:val="0015086F"/>
    <w:rsid w:val="00151C6C"/>
    <w:rsid w:val="0015303A"/>
    <w:rsid w:val="00154413"/>
    <w:rsid w:val="00154875"/>
    <w:rsid w:val="00157962"/>
    <w:rsid w:val="00171AEE"/>
    <w:rsid w:val="0017641C"/>
    <w:rsid w:val="00180A62"/>
    <w:rsid w:val="00180DD4"/>
    <w:rsid w:val="0018211F"/>
    <w:rsid w:val="0018611E"/>
    <w:rsid w:val="00190AA8"/>
    <w:rsid w:val="001949DA"/>
    <w:rsid w:val="00195A3B"/>
    <w:rsid w:val="00197469"/>
    <w:rsid w:val="001A0A95"/>
    <w:rsid w:val="001A5635"/>
    <w:rsid w:val="001B0AB8"/>
    <w:rsid w:val="001B5723"/>
    <w:rsid w:val="001C380D"/>
    <w:rsid w:val="001C4D90"/>
    <w:rsid w:val="001C58A4"/>
    <w:rsid w:val="001C734D"/>
    <w:rsid w:val="001D4ECE"/>
    <w:rsid w:val="001E14D8"/>
    <w:rsid w:val="001E2925"/>
    <w:rsid w:val="001E2F45"/>
    <w:rsid w:val="001E4A45"/>
    <w:rsid w:val="001F47CD"/>
    <w:rsid w:val="001F59E9"/>
    <w:rsid w:val="001F70AD"/>
    <w:rsid w:val="00200932"/>
    <w:rsid w:val="00205580"/>
    <w:rsid w:val="00212125"/>
    <w:rsid w:val="002159AC"/>
    <w:rsid w:val="00224AD3"/>
    <w:rsid w:val="002324A4"/>
    <w:rsid w:val="002326FD"/>
    <w:rsid w:val="00234563"/>
    <w:rsid w:val="002369B4"/>
    <w:rsid w:val="0024098B"/>
    <w:rsid w:val="00242255"/>
    <w:rsid w:val="00243A19"/>
    <w:rsid w:val="00265E5B"/>
    <w:rsid w:val="00273A02"/>
    <w:rsid w:val="00273FF6"/>
    <w:rsid w:val="00280A27"/>
    <w:rsid w:val="0028104E"/>
    <w:rsid w:val="0028331C"/>
    <w:rsid w:val="0029096F"/>
    <w:rsid w:val="00294423"/>
    <w:rsid w:val="002A4D4D"/>
    <w:rsid w:val="002A6212"/>
    <w:rsid w:val="002A6E69"/>
    <w:rsid w:val="002B4737"/>
    <w:rsid w:val="002B4FDB"/>
    <w:rsid w:val="002B5349"/>
    <w:rsid w:val="002C5723"/>
    <w:rsid w:val="002C7402"/>
    <w:rsid w:val="002D3685"/>
    <w:rsid w:val="002D5073"/>
    <w:rsid w:val="002D5AA9"/>
    <w:rsid w:val="002E2EB9"/>
    <w:rsid w:val="002F06F3"/>
    <w:rsid w:val="002F19E6"/>
    <w:rsid w:val="002F2BDC"/>
    <w:rsid w:val="00302FC7"/>
    <w:rsid w:val="003055C5"/>
    <w:rsid w:val="0031105A"/>
    <w:rsid w:val="00313A93"/>
    <w:rsid w:val="00314737"/>
    <w:rsid w:val="00323515"/>
    <w:rsid w:val="00324CEC"/>
    <w:rsid w:val="003276C6"/>
    <w:rsid w:val="003379FA"/>
    <w:rsid w:val="00342E87"/>
    <w:rsid w:val="00345DAE"/>
    <w:rsid w:val="00357D5D"/>
    <w:rsid w:val="003614E1"/>
    <w:rsid w:val="003625EA"/>
    <w:rsid w:val="003650C8"/>
    <w:rsid w:val="00372663"/>
    <w:rsid w:val="003760A2"/>
    <w:rsid w:val="00380ECE"/>
    <w:rsid w:val="00383F8C"/>
    <w:rsid w:val="00386495"/>
    <w:rsid w:val="003874F6"/>
    <w:rsid w:val="003A40AB"/>
    <w:rsid w:val="003B16D4"/>
    <w:rsid w:val="003B3B5C"/>
    <w:rsid w:val="003B4D2E"/>
    <w:rsid w:val="003B5B95"/>
    <w:rsid w:val="003C250A"/>
    <w:rsid w:val="003C3C53"/>
    <w:rsid w:val="003D5CB3"/>
    <w:rsid w:val="003E2C99"/>
    <w:rsid w:val="003E4D14"/>
    <w:rsid w:val="003E7617"/>
    <w:rsid w:val="003F0841"/>
    <w:rsid w:val="003F2AB3"/>
    <w:rsid w:val="003F36A2"/>
    <w:rsid w:val="00405E84"/>
    <w:rsid w:val="00406112"/>
    <w:rsid w:val="00412D43"/>
    <w:rsid w:val="00412DD5"/>
    <w:rsid w:val="004165B0"/>
    <w:rsid w:val="00421013"/>
    <w:rsid w:val="00421D99"/>
    <w:rsid w:val="00426AE6"/>
    <w:rsid w:val="004319A6"/>
    <w:rsid w:val="00432A38"/>
    <w:rsid w:val="00432D06"/>
    <w:rsid w:val="0043311A"/>
    <w:rsid w:val="00433D2F"/>
    <w:rsid w:val="0043539E"/>
    <w:rsid w:val="00435928"/>
    <w:rsid w:val="00437A0A"/>
    <w:rsid w:val="00443C12"/>
    <w:rsid w:val="00453438"/>
    <w:rsid w:val="004635FD"/>
    <w:rsid w:val="004644CB"/>
    <w:rsid w:val="00471C2C"/>
    <w:rsid w:val="00476E78"/>
    <w:rsid w:val="00477D5D"/>
    <w:rsid w:val="00483299"/>
    <w:rsid w:val="004953D8"/>
    <w:rsid w:val="004A491C"/>
    <w:rsid w:val="004A4E08"/>
    <w:rsid w:val="004A7EF9"/>
    <w:rsid w:val="004B164D"/>
    <w:rsid w:val="004B2F6C"/>
    <w:rsid w:val="004C1097"/>
    <w:rsid w:val="004C688F"/>
    <w:rsid w:val="004C7FBC"/>
    <w:rsid w:val="004D4572"/>
    <w:rsid w:val="004E112D"/>
    <w:rsid w:val="004E27B2"/>
    <w:rsid w:val="004E284C"/>
    <w:rsid w:val="004E4B52"/>
    <w:rsid w:val="004E7958"/>
    <w:rsid w:val="004F1793"/>
    <w:rsid w:val="00502AAE"/>
    <w:rsid w:val="00504626"/>
    <w:rsid w:val="00504C53"/>
    <w:rsid w:val="00505E9A"/>
    <w:rsid w:val="005105B4"/>
    <w:rsid w:val="0051401F"/>
    <w:rsid w:val="0051419C"/>
    <w:rsid w:val="00523EB9"/>
    <w:rsid w:val="0052504A"/>
    <w:rsid w:val="0052624E"/>
    <w:rsid w:val="0053018B"/>
    <w:rsid w:val="00535089"/>
    <w:rsid w:val="00541907"/>
    <w:rsid w:val="00546052"/>
    <w:rsid w:val="005465F8"/>
    <w:rsid w:val="0055099C"/>
    <w:rsid w:val="00551044"/>
    <w:rsid w:val="005555D8"/>
    <w:rsid w:val="005600F8"/>
    <w:rsid w:val="00561AE5"/>
    <w:rsid w:val="0056226B"/>
    <w:rsid w:val="00567B80"/>
    <w:rsid w:val="00570019"/>
    <w:rsid w:val="00570DF3"/>
    <w:rsid w:val="0057331C"/>
    <w:rsid w:val="0058098C"/>
    <w:rsid w:val="005816A3"/>
    <w:rsid w:val="00581C75"/>
    <w:rsid w:val="00585935"/>
    <w:rsid w:val="0059766A"/>
    <w:rsid w:val="005A2664"/>
    <w:rsid w:val="005A64C2"/>
    <w:rsid w:val="005B547B"/>
    <w:rsid w:val="005B6DC0"/>
    <w:rsid w:val="005C33F8"/>
    <w:rsid w:val="005C3D3F"/>
    <w:rsid w:val="005C5E1B"/>
    <w:rsid w:val="005C7EA5"/>
    <w:rsid w:val="005E0C1D"/>
    <w:rsid w:val="005E5BB9"/>
    <w:rsid w:val="005F01C1"/>
    <w:rsid w:val="005F1BC0"/>
    <w:rsid w:val="005F28FC"/>
    <w:rsid w:val="005F4228"/>
    <w:rsid w:val="005F7533"/>
    <w:rsid w:val="00600A23"/>
    <w:rsid w:val="006069C2"/>
    <w:rsid w:val="006148E6"/>
    <w:rsid w:val="00614F6D"/>
    <w:rsid w:val="006153FC"/>
    <w:rsid w:val="00620748"/>
    <w:rsid w:val="006219E4"/>
    <w:rsid w:val="006275CF"/>
    <w:rsid w:val="0063540F"/>
    <w:rsid w:val="00635C0D"/>
    <w:rsid w:val="00636740"/>
    <w:rsid w:val="006379FB"/>
    <w:rsid w:val="00645BBA"/>
    <w:rsid w:val="00652D7E"/>
    <w:rsid w:val="00655E93"/>
    <w:rsid w:val="00656548"/>
    <w:rsid w:val="00664D30"/>
    <w:rsid w:val="006657B0"/>
    <w:rsid w:val="00665FF7"/>
    <w:rsid w:val="00673DC1"/>
    <w:rsid w:val="006761E5"/>
    <w:rsid w:val="006763E9"/>
    <w:rsid w:val="006764DF"/>
    <w:rsid w:val="00677E4F"/>
    <w:rsid w:val="006822F2"/>
    <w:rsid w:val="00694C32"/>
    <w:rsid w:val="00697E72"/>
    <w:rsid w:val="006A1D05"/>
    <w:rsid w:val="006A3C7A"/>
    <w:rsid w:val="006B042F"/>
    <w:rsid w:val="006B21E3"/>
    <w:rsid w:val="006B616F"/>
    <w:rsid w:val="006C413A"/>
    <w:rsid w:val="006C647C"/>
    <w:rsid w:val="006C7E87"/>
    <w:rsid w:val="006D0FCC"/>
    <w:rsid w:val="006D11C1"/>
    <w:rsid w:val="006D5084"/>
    <w:rsid w:val="006D6B55"/>
    <w:rsid w:val="006E3269"/>
    <w:rsid w:val="006E6FAB"/>
    <w:rsid w:val="006E7495"/>
    <w:rsid w:val="006E7864"/>
    <w:rsid w:val="006F06E2"/>
    <w:rsid w:val="006F15EC"/>
    <w:rsid w:val="006F46AE"/>
    <w:rsid w:val="006F6596"/>
    <w:rsid w:val="0070148C"/>
    <w:rsid w:val="00706DE8"/>
    <w:rsid w:val="00712661"/>
    <w:rsid w:val="007152DE"/>
    <w:rsid w:val="00716DF4"/>
    <w:rsid w:val="00717D66"/>
    <w:rsid w:val="007220A7"/>
    <w:rsid w:val="007257F7"/>
    <w:rsid w:val="007300F4"/>
    <w:rsid w:val="00745FEF"/>
    <w:rsid w:val="00750FC8"/>
    <w:rsid w:val="007675CF"/>
    <w:rsid w:val="00776865"/>
    <w:rsid w:val="00777EA0"/>
    <w:rsid w:val="00780162"/>
    <w:rsid w:val="00780D66"/>
    <w:rsid w:val="00791F01"/>
    <w:rsid w:val="00792353"/>
    <w:rsid w:val="00796CB8"/>
    <w:rsid w:val="00796EB0"/>
    <w:rsid w:val="007A3084"/>
    <w:rsid w:val="007A44E6"/>
    <w:rsid w:val="007B4659"/>
    <w:rsid w:val="007C0ADE"/>
    <w:rsid w:val="007C1235"/>
    <w:rsid w:val="007C2806"/>
    <w:rsid w:val="007D3BD1"/>
    <w:rsid w:val="007E045F"/>
    <w:rsid w:val="007E15C1"/>
    <w:rsid w:val="007E1603"/>
    <w:rsid w:val="00801831"/>
    <w:rsid w:val="00804329"/>
    <w:rsid w:val="00807671"/>
    <w:rsid w:val="008117AE"/>
    <w:rsid w:val="008137CB"/>
    <w:rsid w:val="00814883"/>
    <w:rsid w:val="00824658"/>
    <w:rsid w:val="008247F8"/>
    <w:rsid w:val="00825D9B"/>
    <w:rsid w:val="00826328"/>
    <w:rsid w:val="00831B0E"/>
    <w:rsid w:val="008348CB"/>
    <w:rsid w:val="00836073"/>
    <w:rsid w:val="00845655"/>
    <w:rsid w:val="00852213"/>
    <w:rsid w:val="0086015E"/>
    <w:rsid w:val="00860EF7"/>
    <w:rsid w:val="00861BA8"/>
    <w:rsid w:val="008720E4"/>
    <w:rsid w:val="00874FD6"/>
    <w:rsid w:val="0088021B"/>
    <w:rsid w:val="008831B0"/>
    <w:rsid w:val="008836C7"/>
    <w:rsid w:val="00884312"/>
    <w:rsid w:val="008860E4"/>
    <w:rsid w:val="00891C00"/>
    <w:rsid w:val="00895FE9"/>
    <w:rsid w:val="008A3833"/>
    <w:rsid w:val="008A433C"/>
    <w:rsid w:val="008B11B0"/>
    <w:rsid w:val="008B2C28"/>
    <w:rsid w:val="008B4D21"/>
    <w:rsid w:val="008B4FB3"/>
    <w:rsid w:val="008C1208"/>
    <w:rsid w:val="008C4783"/>
    <w:rsid w:val="008C47DD"/>
    <w:rsid w:val="008C7447"/>
    <w:rsid w:val="008D69E9"/>
    <w:rsid w:val="008D74B3"/>
    <w:rsid w:val="008E1860"/>
    <w:rsid w:val="008E1954"/>
    <w:rsid w:val="008E4BC7"/>
    <w:rsid w:val="008F0CAE"/>
    <w:rsid w:val="009003DB"/>
    <w:rsid w:val="00906E53"/>
    <w:rsid w:val="009120BA"/>
    <w:rsid w:val="00934E34"/>
    <w:rsid w:val="00934FA2"/>
    <w:rsid w:val="00944568"/>
    <w:rsid w:val="009527D6"/>
    <w:rsid w:val="00955D6F"/>
    <w:rsid w:val="00965C22"/>
    <w:rsid w:val="00966075"/>
    <w:rsid w:val="00967569"/>
    <w:rsid w:val="00967A4F"/>
    <w:rsid w:val="00973F22"/>
    <w:rsid w:val="00975406"/>
    <w:rsid w:val="009768E0"/>
    <w:rsid w:val="0098471F"/>
    <w:rsid w:val="009871BA"/>
    <w:rsid w:val="009947E7"/>
    <w:rsid w:val="009A28F6"/>
    <w:rsid w:val="009A4213"/>
    <w:rsid w:val="009A4298"/>
    <w:rsid w:val="009A57BE"/>
    <w:rsid w:val="009B6166"/>
    <w:rsid w:val="009C53AA"/>
    <w:rsid w:val="009C54ED"/>
    <w:rsid w:val="009D0B06"/>
    <w:rsid w:val="009D1ECE"/>
    <w:rsid w:val="009D388F"/>
    <w:rsid w:val="009D4E52"/>
    <w:rsid w:val="009D4F34"/>
    <w:rsid w:val="009D60A6"/>
    <w:rsid w:val="009D702F"/>
    <w:rsid w:val="009D7DF9"/>
    <w:rsid w:val="009E30C6"/>
    <w:rsid w:val="009E4FEB"/>
    <w:rsid w:val="009E62F4"/>
    <w:rsid w:val="00A043B7"/>
    <w:rsid w:val="00A046E8"/>
    <w:rsid w:val="00A05C6E"/>
    <w:rsid w:val="00A10EE4"/>
    <w:rsid w:val="00A1731F"/>
    <w:rsid w:val="00A24A01"/>
    <w:rsid w:val="00A24C76"/>
    <w:rsid w:val="00A25F18"/>
    <w:rsid w:val="00A32209"/>
    <w:rsid w:val="00A33906"/>
    <w:rsid w:val="00A348F7"/>
    <w:rsid w:val="00A34D4A"/>
    <w:rsid w:val="00A35A02"/>
    <w:rsid w:val="00A40479"/>
    <w:rsid w:val="00A5047F"/>
    <w:rsid w:val="00A73DCD"/>
    <w:rsid w:val="00A825B9"/>
    <w:rsid w:val="00A86070"/>
    <w:rsid w:val="00A87056"/>
    <w:rsid w:val="00A92CB5"/>
    <w:rsid w:val="00A92DA7"/>
    <w:rsid w:val="00AA1218"/>
    <w:rsid w:val="00AA3670"/>
    <w:rsid w:val="00AA4FBB"/>
    <w:rsid w:val="00AA6395"/>
    <w:rsid w:val="00AA711C"/>
    <w:rsid w:val="00AB13B6"/>
    <w:rsid w:val="00AB1868"/>
    <w:rsid w:val="00AB6D1C"/>
    <w:rsid w:val="00AB7B8D"/>
    <w:rsid w:val="00AB7F99"/>
    <w:rsid w:val="00AC083F"/>
    <w:rsid w:val="00AC0F8C"/>
    <w:rsid w:val="00AC13DD"/>
    <w:rsid w:val="00AC1DAB"/>
    <w:rsid w:val="00AC303A"/>
    <w:rsid w:val="00AC738A"/>
    <w:rsid w:val="00AD2BEF"/>
    <w:rsid w:val="00AD2CA4"/>
    <w:rsid w:val="00AD3109"/>
    <w:rsid w:val="00AD405C"/>
    <w:rsid w:val="00AD60C6"/>
    <w:rsid w:val="00AE37AC"/>
    <w:rsid w:val="00AF2CF7"/>
    <w:rsid w:val="00B003A8"/>
    <w:rsid w:val="00B05EC8"/>
    <w:rsid w:val="00B07B57"/>
    <w:rsid w:val="00B17606"/>
    <w:rsid w:val="00B178CA"/>
    <w:rsid w:val="00B33B8D"/>
    <w:rsid w:val="00B401FB"/>
    <w:rsid w:val="00B40EDB"/>
    <w:rsid w:val="00B53863"/>
    <w:rsid w:val="00B631D2"/>
    <w:rsid w:val="00B6416C"/>
    <w:rsid w:val="00B64D7C"/>
    <w:rsid w:val="00B65600"/>
    <w:rsid w:val="00B66798"/>
    <w:rsid w:val="00B66C2D"/>
    <w:rsid w:val="00B66CA2"/>
    <w:rsid w:val="00B674BD"/>
    <w:rsid w:val="00B70CE9"/>
    <w:rsid w:val="00B7344D"/>
    <w:rsid w:val="00B73EEA"/>
    <w:rsid w:val="00B803BF"/>
    <w:rsid w:val="00B81EAD"/>
    <w:rsid w:val="00B95BF2"/>
    <w:rsid w:val="00B95C6D"/>
    <w:rsid w:val="00BA17D1"/>
    <w:rsid w:val="00BA5DB4"/>
    <w:rsid w:val="00BA5DCE"/>
    <w:rsid w:val="00BB1BFD"/>
    <w:rsid w:val="00BB1D67"/>
    <w:rsid w:val="00BB3773"/>
    <w:rsid w:val="00BB37EB"/>
    <w:rsid w:val="00BB4F83"/>
    <w:rsid w:val="00BC1050"/>
    <w:rsid w:val="00BC325F"/>
    <w:rsid w:val="00BC35C8"/>
    <w:rsid w:val="00BC7B0C"/>
    <w:rsid w:val="00BD5815"/>
    <w:rsid w:val="00BD7320"/>
    <w:rsid w:val="00BD7743"/>
    <w:rsid w:val="00BE20B5"/>
    <w:rsid w:val="00BE313B"/>
    <w:rsid w:val="00BF6F95"/>
    <w:rsid w:val="00C041A7"/>
    <w:rsid w:val="00C04249"/>
    <w:rsid w:val="00C048B1"/>
    <w:rsid w:val="00C1142B"/>
    <w:rsid w:val="00C20E5B"/>
    <w:rsid w:val="00C24AAD"/>
    <w:rsid w:val="00C27C2C"/>
    <w:rsid w:val="00C30368"/>
    <w:rsid w:val="00C34A45"/>
    <w:rsid w:val="00C36D33"/>
    <w:rsid w:val="00C36ED1"/>
    <w:rsid w:val="00C40268"/>
    <w:rsid w:val="00C4063E"/>
    <w:rsid w:val="00C4105C"/>
    <w:rsid w:val="00C42404"/>
    <w:rsid w:val="00C42ED1"/>
    <w:rsid w:val="00C4433A"/>
    <w:rsid w:val="00C45AFE"/>
    <w:rsid w:val="00C461EA"/>
    <w:rsid w:val="00C516B3"/>
    <w:rsid w:val="00C51FCE"/>
    <w:rsid w:val="00C732E8"/>
    <w:rsid w:val="00C81654"/>
    <w:rsid w:val="00C93CCA"/>
    <w:rsid w:val="00C940D1"/>
    <w:rsid w:val="00CA007D"/>
    <w:rsid w:val="00CB1ED2"/>
    <w:rsid w:val="00CB28E2"/>
    <w:rsid w:val="00CB2A82"/>
    <w:rsid w:val="00CB39B0"/>
    <w:rsid w:val="00CB59F1"/>
    <w:rsid w:val="00CC3160"/>
    <w:rsid w:val="00CC3F3D"/>
    <w:rsid w:val="00CC55D4"/>
    <w:rsid w:val="00CD3FA0"/>
    <w:rsid w:val="00CD57B4"/>
    <w:rsid w:val="00CD7120"/>
    <w:rsid w:val="00CD7178"/>
    <w:rsid w:val="00CD733A"/>
    <w:rsid w:val="00CE4077"/>
    <w:rsid w:val="00CF001C"/>
    <w:rsid w:val="00CF3385"/>
    <w:rsid w:val="00CF3F85"/>
    <w:rsid w:val="00CF5574"/>
    <w:rsid w:val="00CF6411"/>
    <w:rsid w:val="00CF6C82"/>
    <w:rsid w:val="00CF6FF5"/>
    <w:rsid w:val="00D009EF"/>
    <w:rsid w:val="00D01C5C"/>
    <w:rsid w:val="00D06C6A"/>
    <w:rsid w:val="00D160F8"/>
    <w:rsid w:val="00D206F5"/>
    <w:rsid w:val="00D21CD1"/>
    <w:rsid w:val="00D246EC"/>
    <w:rsid w:val="00D337D3"/>
    <w:rsid w:val="00D36C00"/>
    <w:rsid w:val="00D41C13"/>
    <w:rsid w:val="00D43942"/>
    <w:rsid w:val="00D45F65"/>
    <w:rsid w:val="00D47724"/>
    <w:rsid w:val="00D47B6D"/>
    <w:rsid w:val="00D51874"/>
    <w:rsid w:val="00D5542A"/>
    <w:rsid w:val="00D5547C"/>
    <w:rsid w:val="00D56244"/>
    <w:rsid w:val="00D56727"/>
    <w:rsid w:val="00D6352F"/>
    <w:rsid w:val="00D6510F"/>
    <w:rsid w:val="00D72193"/>
    <w:rsid w:val="00D8400D"/>
    <w:rsid w:val="00D855D1"/>
    <w:rsid w:val="00D913F2"/>
    <w:rsid w:val="00DA62EF"/>
    <w:rsid w:val="00DB239D"/>
    <w:rsid w:val="00DB264C"/>
    <w:rsid w:val="00DB2C3C"/>
    <w:rsid w:val="00DB2F16"/>
    <w:rsid w:val="00DB499C"/>
    <w:rsid w:val="00DB6F7D"/>
    <w:rsid w:val="00DC1D92"/>
    <w:rsid w:val="00DC2CCF"/>
    <w:rsid w:val="00DD13EA"/>
    <w:rsid w:val="00DD1B34"/>
    <w:rsid w:val="00DD3615"/>
    <w:rsid w:val="00DD4C56"/>
    <w:rsid w:val="00DD5258"/>
    <w:rsid w:val="00DD6E61"/>
    <w:rsid w:val="00DE3EF2"/>
    <w:rsid w:val="00DE485C"/>
    <w:rsid w:val="00DE7167"/>
    <w:rsid w:val="00E01645"/>
    <w:rsid w:val="00E0237B"/>
    <w:rsid w:val="00E02A72"/>
    <w:rsid w:val="00E04C4E"/>
    <w:rsid w:val="00E06FDA"/>
    <w:rsid w:val="00E10EDB"/>
    <w:rsid w:val="00E126ED"/>
    <w:rsid w:val="00E1339C"/>
    <w:rsid w:val="00E1612F"/>
    <w:rsid w:val="00E2561A"/>
    <w:rsid w:val="00E278CB"/>
    <w:rsid w:val="00E31E01"/>
    <w:rsid w:val="00E342A9"/>
    <w:rsid w:val="00E448EC"/>
    <w:rsid w:val="00E44BC3"/>
    <w:rsid w:val="00E44D38"/>
    <w:rsid w:val="00E457D9"/>
    <w:rsid w:val="00E46D8F"/>
    <w:rsid w:val="00E5009D"/>
    <w:rsid w:val="00E5022D"/>
    <w:rsid w:val="00E53035"/>
    <w:rsid w:val="00E5370A"/>
    <w:rsid w:val="00E57B17"/>
    <w:rsid w:val="00E62FA6"/>
    <w:rsid w:val="00E7740E"/>
    <w:rsid w:val="00E7759C"/>
    <w:rsid w:val="00EA2A73"/>
    <w:rsid w:val="00EA39D6"/>
    <w:rsid w:val="00EB090B"/>
    <w:rsid w:val="00EB1254"/>
    <w:rsid w:val="00EB278B"/>
    <w:rsid w:val="00EE4A63"/>
    <w:rsid w:val="00EE602A"/>
    <w:rsid w:val="00EE741A"/>
    <w:rsid w:val="00EF326A"/>
    <w:rsid w:val="00EF3561"/>
    <w:rsid w:val="00EF7983"/>
    <w:rsid w:val="00F00ED3"/>
    <w:rsid w:val="00F01F4F"/>
    <w:rsid w:val="00F13C01"/>
    <w:rsid w:val="00F142ED"/>
    <w:rsid w:val="00F22694"/>
    <w:rsid w:val="00F23598"/>
    <w:rsid w:val="00F27B63"/>
    <w:rsid w:val="00F27C44"/>
    <w:rsid w:val="00F343A0"/>
    <w:rsid w:val="00F369A7"/>
    <w:rsid w:val="00F37E73"/>
    <w:rsid w:val="00F51648"/>
    <w:rsid w:val="00F5186B"/>
    <w:rsid w:val="00F51BE3"/>
    <w:rsid w:val="00F52D4B"/>
    <w:rsid w:val="00F57969"/>
    <w:rsid w:val="00F57E74"/>
    <w:rsid w:val="00F64DFA"/>
    <w:rsid w:val="00F738F9"/>
    <w:rsid w:val="00F73C77"/>
    <w:rsid w:val="00F8010F"/>
    <w:rsid w:val="00F804FB"/>
    <w:rsid w:val="00F8401A"/>
    <w:rsid w:val="00F85BEB"/>
    <w:rsid w:val="00F94CB8"/>
    <w:rsid w:val="00F94DF2"/>
    <w:rsid w:val="00FA3786"/>
    <w:rsid w:val="00FA4077"/>
    <w:rsid w:val="00FA7EF8"/>
    <w:rsid w:val="00FB1137"/>
    <w:rsid w:val="00FB4EB8"/>
    <w:rsid w:val="00FB4EEA"/>
    <w:rsid w:val="00FC6E43"/>
    <w:rsid w:val="00FC7D14"/>
    <w:rsid w:val="00FD0BB5"/>
    <w:rsid w:val="00FD296D"/>
    <w:rsid w:val="00FD61DF"/>
    <w:rsid w:val="00FD645E"/>
    <w:rsid w:val="00FE2911"/>
    <w:rsid w:val="00FE350B"/>
    <w:rsid w:val="00FE7839"/>
    <w:rsid w:val="00FF117C"/>
    <w:rsid w:val="00FF12C0"/>
    <w:rsid w:val="00FF1CEB"/>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1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B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160"/>
  </w:style>
  <w:style w:type="paragraph" w:styleId="a5">
    <w:name w:val="footer"/>
    <w:basedOn w:val="a"/>
    <w:link w:val="a6"/>
    <w:uiPriority w:val="99"/>
    <w:unhideWhenUsed/>
    <w:rsid w:val="00CC3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160"/>
  </w:style>
  <w:style w:type="character" w:customStyle="1" w:styleId="50">
    <w:name w:val="Заголовок 5 Знак"/>
    <w:basedOn w:val="a0"/>
    <w:link w:val="5"/>
    <w:rsid w:val="00DD1B34"/>
    <w:rPr>
      <w:rFonts w:ascii="Times New Roman" w:eastAsia="Times New Roman" w:hAnsi="Times New Roman" w:cs="Times New Roman"/>
      <w:b/>
      <w:bCs/>
      <w:i/>
      <w:iCs/>
      <w:sz w:val="26"/>
      <w:szCs w:val="26"/>
      <w:lang w:eastAsia="ru-RU"/>
    </w:rPr>
  </w:style>
  <w:style w:type="paragraph" w:styleId="2">
    <w:name w:val="Body Text Indent 2"/>
    <w:basedOn w:val="a"/>
    <w:link w:val="20"/>
    <w:rsid w:val="00DD1B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1B34"/>
    <w:rPr>
      <w:rFonts w:ascii="Times New Roman" w:eastAsia="Times New Roman" w:hAnsi="Times New Roman" w:cs="Times New Roman"/>
      <w:sz w:val="24"/>
      <w:szCs w:val="24"/>
      <w:lang w:val="x-none" w:eastAsia="x-none"/>
    </w:rPr>
  </w:style>
  <w:style w:type="paragraph" w:styleId="a7">
    <w:name w:val="Body Text"/>
    <w:basedOn w:val="a"/>
    <w:link w:val="a8"/>
    <w:rsid w:val="00DD1B3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D1B34"/>
    <w:rPr>
      <w:rFonts w:ascii="Times New Roman" w:eastAsia="Times New Roman" w:hAnsi="Times New Roman" w:cs="Times New Roman"/>
      <w:sz w:val="24"/>
      <w:szCs w:val="24"/>
      <w:lang w:val="x-none" w:eastAsia="x-none"/>
    </w:rPr>
  </w:style>
  <w:style w:type="paragraph" w:styleId="a9">
    <w:name w:val="Title"/>
    <w:basedOn w:val="a"/>
    <w:link w:val="aa"/>
    <w:qFormat/>
    <w:rsid w:val="00DD1B3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D1B34"/>
    <w:rPr>
      <w:rFonts w:ascii="Times New Roman" w:eastAsia="Times New Roman" w:hAnsi="Times New Roman" w:cs="Times New Roman"/>
      <w:sz w:val="28"/>
      <w:szCs w:val="20"/>
      <w:lang w:eastAsia="ru-RU"/>
    </w:rPr>
  </w:style>
  <w:style w:type="paragraph" w:styleId="21">
    <w:name w:val="Body Text 2"/>
    <w:basedOn w:val="a"/>
    <w:link w:val="22"/>
    <w:rsid w:val="00DD1B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1B34"/>
    <w:rPr>
      <w:rFonts w:ascii="Times New Roman" w:eastAsia="Times New Roman" w:hAnsi="Times New Roman" w:cs="Times New Roman"/>
      <w:sz w:val="24"/>
      <w:szCs w:val="24"/>
      <w:lang w:eastAsia="ru-RU"/>
    </w:rPr>
  </w:style>
  <w:style w:type="paragraph" w:customStyle="1" w:styleId="ab">
    <w:name w:val="Нормальн"/>
    <w:basedOn w:val="a"/>
    <w:rsid w:val="00DD1B34"/>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DD1B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1B34"/>
    <w:rPr>
      <w:rFonts w:ascii="Times New Roman" w:eastAsia="Times New Roman" w:hAnsi="Times New Roman" w:cs="Times New Roman"/>
      <w:sz w:val="16"/>
      <w:szCs w:val="16"/>
      <w:lang w:eastAsia="ru-RU"/>
    </w:rPr>
  </w:style>
  <w:style w:type="paragraph" w:styleId="33">
    <w:name w:val="Body Text 3"/>
    <w:basedOn w:val="a"/>
    <w:link w:val="34"/>
    <w:rsid w:val="00DD1B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D1B3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DD1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1B34"/>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12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27F7C"/>
    <w:rPr>
      <w:rFonts w:ascii="Times New Roman" w:hAnsi="Times New Roman" w:cs="Times New Roman" w:hint="default"/>
      <w:spacing w:val="20"/>
      <w:sz w:val="28"/>
    </w:rPr>
  </w:style>
  <w:style w:type="paragraph" w:styleId="ac">
    <w:name w:val="Subtitle"/>
    <w:basedOn w:val="a"/>
    <w:link w:val="ad"/>
    <w:qFormat/>
    <w:rsid w:val="0088021B"/>
    <w:pPr>
      <w:spacing w:after="0" w:line="240" w:lineRule="auto"/>
      <w:ind w:firstLine="851"/>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88021B"/>
    <w:rPr>
      <w:rFonts w:ascii="Times New Roman" w:eastAsia="Times New Roman" w:hAnsi="Times New Roman" w:cs="Times New Roman"/>
      <w:b/>
      <w:bCs/>
      <w:sz w:val="28"/>
      <w:szCs w:val="24"/>
      <w:lang w:eastAsia="ru-RU"/>
    </w:rPr>
  </w:style>
  <w:style w:type="paragraph" w:styleId="ae">
    <w:name w:val="No Spacing"/>
    <w:link w:val="af"/>
    <w:qFormat/>
    <w:rsid w:val="000F4CA1"/>
    <w:pPr>
      <w:spacing w:after="0" w:line="240" w:lineRule="auto"/>
      <w:jc w:val="both"/>
    </w:pPr>
    <w:rPr>
      <w:rFonts w:ascii="Times New Roman" w:eastAsia="Calibri" w:hAnsi="Times New Roman" w:cs="Times New Roman"/>
      <w:sz w:val="28"/>
    </w:rPr>
  </w:style>
  <w:style w:type="paragraph" w:customStyle="1" w:styleId="ConsPlusNormal">
    <w:name w:val="ConsPlusNormal"/>
    <w:rsid w:val="00E44D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C0424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C04249"/>
    <w:rPr>
      <w:rFonts w:ascii="Times New Roman" w:eastAsia="Times New Roman" w:hAnsi="Times New Roman" w:cs="Times New Roman"/>
      <w:sz w:val="24"/>
      <w:szCs w:val="24"/>
      <w:lang w:val="x-none" w:eastAsia="x-none"/>
    </w:rPr>
  </w:style>
  <w:style w:type="paragraph" w:customStyle="1" w:styleId="11">
    <w:name w:val="Стиль1"/>
    <w:basedOn w:val="a"/>
    <w:rsid w:val="00C0424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C04249"/>
    <w:pPr>
      <w:widowControl w:val="0"/>
      <w:tabs>
        <w:tab w:val="left" w:pos="-1701"/>
      </w:tabs>
      <w:spacing w:after="0" w:line="240" w:lineRule="auto"/>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85221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2213"/>
    <w:rPr>
      <w:rFonts w:ascii="Tahoma" w:hAnsi="Tahoma" w:cs="Tahoma"/>
      <w:sz w:val="16"/>
      <w:szCs w:val="16"/>
    </w:rPr>
  </w:style>
  <w:style w:type="paragraph" w:customStyle="1" w:styleId="12">
    <w:name w:val="Абзац списка1"/>
    <w:basedOn w:val="a"/>
    <w:rsid w:val="00F73C77"/>
    <w:pPr>
      <w:ind w:left="720"/>
      <w:contextualSpacing/>
    </w:pPr>
    <w:rPr>
      <w:rFonts w:ascii="Calibri" w:eastAsia="Times New Roman" w:hAnsi="Calibri" w:cs="Times New Roman"/>
      <w:lang w:eastAsia="ru-RU"/>
    </w:rPr>
  </w:style>
  <w:style w:type="paragraph" w:styleId="af4">
    <w:name w:val="List Paragraph"/>
    <w:basedOn w:val="a"/>
    <w:uiPriority w:val="34"/>
    <w:qFormat/>
    <w:rsid w:val="00F73C77"/>
    <w:pPr>
      <w:ind w:left="720"/>
      <w:contextualSpacing/>
    </w:pPr>
    <w:rPr>
      <w:rFonts w:ascii="Calibri" w:eastAsia="Times New Roman" w:hAnsi="Calibri" w:cs="Times New Roman"/>
      <w:lang w:eastAsia="ru-RU"/>
    </w:rPr>
  </w:style>
  <w:style w:type="character" w:customStyle="1" w:styleId="af">
    <w:name w:val="Без интервала Знак"/>
    <w:link w:val="ae"/>
    <w:rsid w:val="001E2925"/>
    <w:rPr>
      <w:rFonts w:ascii="Times New Roman" w:eastAsia="Calibri" w:hAnsi="Times New Roman" w:cs="Times New Roman"/>
      <w:sz w:val="28"/>
    </w:rPr>
  </w:style>
  <w:style w:type="paragraph" w:styleId="af5">
    <w:name w:val="Normal (Web)"/>
    <w:basedOn w:val="a"/>
    <w:rsid w:val="001E2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A34D4A"/>
    <w:pPr>
      <w:ind w:left="720"/>
      <w:contextualSpacing/>
    </w:pPr>
    <w:rPr>
      <w:rFonts w:ascii="Calibri" w:eastAsia="Times New Roman" w:hAnsi="Calibri" w:cs="Times New Roman"/>
      <w:lang w:eastAsia="ru-RU"/>
    </w:rPr>
  </w:style>
  <w:style w:type="character" w:customStyle="1" w:styleId="FontStyle14">
    <w:name w:val="Font Style14"/>
    <w:uiPriority w:val="99"/>
    <w:rsid w:val="00A86070"/>
    <w:rPr>
      <w:rFonts w:ascii="Times New Roman" w:hAnsi="Times New Roman"/>
      <w:sz w:val="26"/>
    </w:rPr>
  </w:style>
  <w:style w:type="paragraph" w:customStyle="1" w:styleId="13">
    <w:name w:val="Без интервала1"/>
    <w:link w:val="NoSpacingChar1"/>
    <w:uiPriority w:val="99"/>
    <w:rsid w:val="00EE602A"/>
    <w:pPr>
      <w:spacing w:after="0" w:line="240" w:lineRule="auto"/>
    </w:pPr>
    <w:rPr>
      <w:rFonts w:ascii="Times New Roman" w:eastAsia="Calibri" w:hAnsi="Times New Roman" w:cs="Times New Roman"/>
      <w:lang w:eastAsia="ru-RU"/>
    </w:rPr>
  </w:style>
  <w:style w:type="character" w:customStyle="1" w:styleId="NoSpacingChar1">
    <w:name w:val="No Spacing Char1"/>
    <w:link w:val="13"/>
    <w:uiPriority w:val="99"/>
    <w:locked/>
    <w:rsid w:val="00EE602A"/>
    <w:rPr>
      <w:rFonts w:ascii="Times New Roman" w:eastAsia="Calibri" w:hAnsi="Times New Roman" w:cs="Times New Roman"/>
      <w:lang w:eastAsia="ru-RU"/>
    </w:rPr>
  </w:style>
  <w:style w:type="character" w:customStyle="1" w:styleId="FontStyle11">
    <w:name w:val="Font Style11"/>
    <w:rsid w:val="00824658"/>
    <w:rPr>
      <w:rFonts w:ascii="Times New Roman" w:hAnsi="Times New Roman"/>
      <w:sz w:val="26"/>
    </w:rPr>
  </w:style>
  <w:style w:type="character" w:customStyle="1" w:styleId="af6">
    <w:name w:val="Основной текст_"/>
    <w:basedOn w:val="a0"/>
    <w:link w:val="14"/>
    <w:locked/>
    <w:rsid w:val="007C2806"/>
    <w:rPr>
      <w:spacing w:val="1"/>
      <w:shd w:val="clear" w:color="auto" w:fill="FFFFFF"/>
    </w:rPr>
  </w:style>
  <w:style w:type="paragraph" w:customStyle="1" w:styleId="14">
    <w:name w:val="Основной текст1"/>
    <w:basedOn w:val="a"/>
    <w:link w:val="af6"/>
    <w:rsid w:val="007C2806"/>
    <w:pPr>
      <w:widowControl w:val="0"/>
      <w:shd w:val="clear" w:color="auto" w:fill="FFFFFF"/>
      <w:spacing w:before="300" w:after="0" w:line="298" w:lineRule="exact"/>
      <w:jc w:val="both"/>
    </w:pPr>
    <w:rPr>
      <w:spacing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D1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B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1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3160"/>
  </w:style>
  <w:style w:type="paragraph" w:styleId="a5">
    <w:name w:val="footer"/>
    <w:basedOn w:val="a"/>
    <w:link w:val="a6"/>
    <w:uiPriority w:val="99"/>
    <w:unhideWhenUsed/>
    <w:rsid w:val="00CC31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3160"/>
  </w:style>
  <w:style w:type="character" w:customStyle="1" w:styleId="50">
    <w:name w:val="Заголовок 5 Знак"/>
    <w:basedOn w:val="a0"/>
    <w:link w:val="5"/>
    <w:rsid w:val="00DD1B34"/>
    <w:rPr>
      <w:rFonts w:ascii="Times New Roman" w:eastAsia="Times New Roman" w:hAnsi="Times New Roman" w:cs="Times New Roman"/>
      <w:b/>
      <w:bCs/>
      <w:i/>
      <w:iCs/>
      <w:sz w:val="26"/>
      <w:szCs w:val="26"/>
      <w:lang w:eastAsia="ru-RU"/>
    </w:rPr>
  </w:style>
  <w:style w:type="paragraph" w:styleId="2">
    <w:name w:val="Body Text Indent 2"/>
    <w:basedOn w:val="a"/>
    <w:link w:val="20"/>
    <w:rsid w:val="00DD1B3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D1B34"/>
    <w:rPr>
      <w:rFonts w:ascii="Times New Roman" w:eastAsia="Times New Roman" w:hAnsi="Times New Roman" w:cs="Times New Roman"/>
      <w:sz w:val="24"/>
      <w:szCs w:val="24"/>
      <w:lang w:val="x-none" w:eastAsia="x-none"/>
    </w:rPr>
  </w:style>
  <w:style w:type="paragraph" w:styleId="a7">
    <w:name w:val="Body Text"/>
    <w:basedOn w:val="a"/>
    <w:link w:val="a8"/>
    <w:rsid w:val="00DD1B3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D1B34"/>
    <w:rPr>
      <w:rFonts w:ascii="Times New Roman" w:eastAsia="Times New Roman" w:hAnsi="Times New Roman" w:cs="Times New Roman"/>
      <w:sz w:val="24"/>
      <w:szCs w:val="24"/>
      <w:lang w:val="x-none" w:eastAsia="x-none"/>
    </w:rPr>
  </w:style>
  <w:style w:type="paragraph" w:styleId="a9">
    <w:name w:val="Title"/>
    <w:basedOn w:val="a"/>
    <w:link w:val="aa"/>
    <w:qFormat/>
    <w:rsid w:val="00DD1B34"/>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DD1B34"/>
    <w:rPr>
      <w:rFonts w:ascii="Times New Roman" w:eastAsia="Times New Roman" w:hAnsi="Times New Roman" w:cs="Times New Roman"/>
      <w:sz w:val="28"/>
      <w:szCs w:val="20"/>
      <w:lang w:eastAsia="ru-RU"/>
    </w:rPr>
  </w:style>
  <w:style w:type="paragraph" w:styleId="21">
    <w:name w:val="Body Text 2"/>
    <w:basedOn w:val="a"/>
    <w:link w:val="22"/>
    <w:rsid w:val="00DD1B3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D1B34"/>
    <w:rPr>
      <w:rFonts w:ascii="Times New Roman" w:eastAsia="Times New Roman" w:hAnsi="Times New Roman" w:cs="Times New Roman"/>
      <w:sz w:val="24"/>
      <w:szCs w:val="24"/>
      <w:lang w:eastAsia="ru-RU"/>
    </w:rPr>
  </w:style>
  <w:style w:type="paragraph" w:customStyle="1" w:styleId="ab">
    <w:name w:val="Нормальн"/>
    <w:basedOn w:val="a"/>
    <w:rsid w:val="00DD1B34"/>
    <w:pPr>
      <w:spacing w:after="0" w:line="24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rsid w:val="00DD1B3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D1B34"/>
    <w:rPr>
      <w:rFonts w:ascii="Times New Roman" w:eastAsia="Times New Roman" w:hAnsi="Times New Roman" w:cs="Times New Roman"/>
      <w:sz w:val="16"/>
      <w:szCs w:val="16"/>
      <w:lang w:eastAsia="ru-RU"/>
    </w:rPr>
  </w:style>
  <w:style w:type="paragraph" w:styleId="33">
    <w:name w:val="Body Text 3"/>
    <w:basedOn w:val="a"/>
    <w:link w:val="34"/>
    <w:rsid w:val="00DD1B3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D1B3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DD1B3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D1B34"/>
    <w:rPr>
      <w:rFonts w:asciiTheme="majorHAnsi" w:eastAsiaTheme="majorEastAsia" w:hAnsiTheme="majorHAnsi" w:cstheme="majorBidi"/>
      <w:b/>
      <w:bCs/>
      <w:color w:val="4F81BD" w:themeColor="accent1"/>
    </w:rPr>
  </w:style>
  <w:style w:type="paragraph" w:customStyle="1" w:styleId="msonormalcxspmiddle">
    <w:name w:val="msonormalcxspmiddle"/>
    <w:basedOn w:val="a"/>
    <w:rsid w:val="0012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127F7C"/>
    <w:rPr>
      <w:rFonts w:ascii="Times New Roman" w:hAnsi="Times New Roman" w:cs="Times New Roman" w:hint="default"/>
      <w:spacing w:val="20"/>
      <w:sz w:val="28"/>
    </w:rPr>
  </w:style>
  <w:style w:type="paragraph" w:styleId="ac">
    <w:name w:val="Subtitle"/>
    <w:basedOn w:val="a"/>
    <w:link w:val="ad"/>
    <w:qFormat/>
    <w:rsid w:val="0088021B"/>
    <w:pPr>
      <w:spacing w:after="0" w:line="240" w:lineRule="auto"/>
      <w:ind w:firstLine="851"/>
      <w:jc w:val="center"/>
    </w:pPr>
    <w:rPr>
      <w:rFonts w:ascii="Times New Roman" w:eastAsia="Times New Roman" w:hAnsi="Times New Roman" w:cs="Times New Roman"/>
      <w:b/>
      <w:bCs/>
      <w:sz w:val="28"/>
      <w:szCs w:val="24"/>
      <w:lang w:eastAsia="ru-RU"/>
    </w:rPr>
  </w:style>
  <w:style w:type="character" w:customStyle="1" w:styleId="ad">
    <w:name w:val="Подзаголовок Знак"/>
    <w:basedOn w:val="a0"/>
    <w:link w:val="ac"/>
    <w:rsid w:val="0088021B"/>
    <w:rPr>
      <w:rFonts w:ascii="Times New Roman" w:eastAsia="Times New Roman" w:hAnsi="Times New Roman" w:cs="Times New Roman"/>
      <w:b/>
      <w:bCs/>
      <w:sz w:val="28"/>
      <w:szCs w:val="24"/>
      <w:lang w:eastAsia="ru-RU"/>
    </w:rPr>
  </w:style>
  <w:style w:type="paragraph" w:styleId="ae">
    <w:name w:val="No Spacing"/>
    <w:link w:val="af"/>
    <w:qFormat/>
    <w:rsid w:val="000F4CA1"/>
    <w:pPr>
      <w:spacing w:after="0" w:line="240" w:lineRule="auto"/>
      <w:jc w:val="both"/>
    </w:pPr>
    <w:rPr>
      <w:rFonts w:ascii="Times New Roman" w:eastAsia="Calibri" w:hAnsi="Times New Roman" w:cs="Times New Roman"/>
      <w:sz w:val="28"/>
    </w:rPr>
  </w:style>
  <w:style w:type="paragraph" w:customStyle="1" w:styleId="ConsPlusNormal">
    <w:name w:val="ConsPlusNormal"/>
    <w:rsid w:val="00E44D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C0424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1">
    <w:name w:val="Основной текст с отступом Знак"/>
    <w:basedOn w:val="a0"/>
    <w:link w:val="af0"/>
    <w:rsid w:val="00C04249"/>
    <w:rPr>
      <w:rFonts w:ascii="Times New Roman" w:eastAsia="Times New Roman" w:hAnsi="Times New Roman" w:cs="Times New Roman"/>
      <w:sz w:val="24"/>
      <w:szCs w:val="24"/>
      <w:lang w:val="x-none" w:eastAsia="x-none"/>
    </w:rPr>
  </w:style>
  <w:style w:type="paragraph" w:customStyle="1" w:styleId="11">
    <w:name w:val="Стиль1"/>
    <w:basedOn w:val="a"/>
    <w:rsid w:val="00C0424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
    <w:uiPriority w:val="99"/>
    <w:rsid w:val="00C04249"/>
    <w:pPr>
      <w:widowControl w:val="0"/>
      <w:tabs>
        <w:tab w:val="left" w:pos="-1701"/>
      </w:tabs>
      <w:spacing w:after="0" w:line="240" w:lineRule="auto"/>
      <w:jc w:val="both"/>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85221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52213"/>
    <w:rPr>
      <w:rFonts w:ascii="Tahoma" w:hAnsi="Tahoma" w:cs="Tahoma"/>
      <w:sz w:val="16"/>
      <w:szCs w:val="16"/>
    </w:rPr>
  </w:style>
  <w:style w:type="paragraph" w:customStyle="1" w:styleId="12">
    <w:name w:val="Абзац списка1"/>
    <w:basedOn w:val="a"/>
    <w:rsid w:val="00F73C77"/>
    <w:pPr>
      <w:ind w:left="720"/>
      <w:contextualSpacing/>
    </w:pPr>
    <w:rPr>
      <w:rFonts w:ascii="Calibri" w:eastAsia="Times New Roman" w:hAnsi="Calibri" w:cs="Times New Roman"/>
      <w:lang w:eastAsia="ru-RU"/>
    </w:rPr>
  </w:style>
  <w:style w:type="paragraph" w:styleId="af4">
    <w:name w:val="List Paragraph"/>
    <w:basedOn w:val="a"/>
    <w:uiPriority w:val="34"/>
    <w:qFormat/>
    <w:rsid w:val="00F73C77"/>
    <w:pPr>
      <w:ind w:left="720"/>
      <w:contextualSpacing/>
    </w:pPr>
    <w:rPr>
      <w:rFonts w:ascii="Calibri" w:eastAsia="Times New Roman" w:hAnsi="Calibri" w:cs="Times New Roman"/>
      <w:lang w:eastAsia="ru-RU"/>
    </w:rPr>
  </w:style>
  <w:style w:type="character" w:customStyle="1" w:styleId="af">
    <w:name w:val="Без интервала Знак"/>
    <w:link w:val="ae"/>
    <w:rsid w:val="001E2925"/>
    <w:rPr>
      <w:rFonts w:ascii="Times New Roman" w:eastAsia="Calibri" w:hAnsi="Times New Roman" w:cs="Times New Roman"/>
      <w:sz w:val="28"/>
    </w:rPr>
  </w:style>
  <w:style w:type="paragraph" w:styleId="af5">
    <w:name w:val="Normal (Web)"/>
    <w:basedOn w:val="a"/>
    <w:rsid w:val="001E29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A34D4A"/>
    <w:pPr>
      <w:ind w:left="720"/>
      <w:contextualSpacing/>
    </w:pPr>
    <w:rPr>
      <w:rFonts w:ascii="Calibri" w:eastAsia="Times New Roman" w:hAnsi="Calibri" w:cs="Times New Roman"/>
      <w:lang w:eastAsia="ru-RU"/>
    </w:rPr>
  </w:style>
  <w:style w:type="character" w:customStyle="1" w:styleId="FontStyle14">
    <w:name w:val="Font Style14"/>
    <w:uiPriority w:val="99"/>
    <w:rsid w:val="00A86070"/>
    <w:rPr>
      <w:rFonts w:ascii="Times New Roman" w:hAnsi="Times New Roman"/>
      <w:sz w:val="26"/>
    </w:rPr>
  </w:style>
  <w:style w:type="paragraph" w:customStyle="1" w:styleId="13">
    <w:name w:val="Без интервала1"/>
    <w:link w:val="NoSpacingChar1"/>
    <w:uiPriority w:val="99"/>
    <w:rsid w:val="00EE602A"/>
    <w:pPr>
      <w:spacing w:after="0" w:line="240" w:lineRule="auto"/>
    </w:pPr>
    <w:rPr>
      <w:rFonts w:ascii="Times New Roman" w:eastAsia="Calibri" w:hAnsi="Times New Roman" w:cs="Times New Roman"/>
      <w:lang w:eastAsia="ru-RU"/>
    </w:rPr>
  </w:style>
  <w:style w:type="character" w:customStyle="1" w:styleId="NoSpacingChar1">
    <w:name w:val="No Spacing Char1"/>
    <w:link w:val="13"/>
    <w:uiPriority w:val="99"/>
    <w:locked/>
    <w:rsid w:val="00EE602A"/>
    <w:rPr>
      <w:rFonts w:ascii="Times New Roman" w:eastAsia="Calibri" w:hAnsi="Times New Roman" w:cs="Times New Roman"/>
      <w:lang w:eastAsia="ru-RU"/>
    </w:rPr>
  </w:style>
  <w:style w:type="character" w:customStyle="1" w:styleId="FontStyle11">
    <w:name w:val="Font Style11"/>
    <w:rsid w:val="00824658"/>
    <w:rPr>
      <w:rFonts w:ascii="Times New Roman" w:hAnsi="Times New Roman"/>
      <w:sz w:val="26"/>
    </w:rPr>
  </w:style>
  <w:style w:type="character" w:customStyle="1" w:styleId="af6">
    <w:name w:val="Основной текст_"/>
    <w:basedOn w:val="a0"/>
    <w:link w:val="14"/>
    <w:locked/>
    <w:rsid w:val="007C2806"/>
    <w:rPr>
      <w:spacing w:val="1"/>
      <w:shd w:val="clear" w:color="auto" w:fill="FFFFFF"/>
    </w:rPr>
  </w:style>
  <w:style w:type="paragraph" w:customStyle="1" w:styleId="14">
    <w:name w:val="Основной текст1"/>
    <w:basedOn w:val="a"/>
    <w:link w:val="af6"/>
    <w:rsid w:val="007C2806"/>
    <w:pPr>
      <w:widowControl w:val="0"/>
      <w:shd w:val="clear" w:color="auto" w:fill="FFFFFF"/>
      <w:spacing w:before="300" w:after="0" w:line="298" w:lineRule="exact"/>
      <w:jc w:val="both"/>
    </w:pPr>
    <w:rPr>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5693">
      <w:bodyDiv w:val="1"/>
      <w:marLeft w:val="0"/>
      <w:marRight w:val="0"/>
      <w:marTop w:val="0"/>
      <w:marBottom w:val="0"/>
      <w:divBdr>
        <w:top w:val="none" w:sz="0" w:space="0" w:color="auto"/>
        <w:left w:val="none" w:sz="0" w:space="0" w:color="auto"/>
        <w:bottom w:val="none" w:sz="0" w:space="0" w:color="auto"/>
        <w:right w:val="none" w:sz="0" w:space="0" w:color="auto"/>
      </w:divBdr>
    </w:div>
    <w:div w:id="1503743501">
      <w:bodyDiv w:val="1"/>
      <w:marLeft w:val="0"/>
      <w:marRight w:val="0"/>
      <w:marTop w:val="0"/>
      <w:marBottom w:val="0"/>
      <w:divBdr>
        <w:top w:val="none" w:sz="0" w:space="0" w:color="auto"/>
        <w:left w:val="none" w:sz="0" w:space="0" w:color="auto"/>
        <w:bottom w:val="none" w:sz="0" w:space="0" w:color="auto"/>
        <w:right w:val="none" w:sz="0" w:space="0" w:color="auto"/>
      </w:divBdr>
    </w:div>
    <w:div w:id="1548254255">
      <w:bodyDiv w:val="1"/>
      <w:marLeft w:val="0"/>
      <w:marRight w:val="0"/>
      <w:marTop w:val="0"/>
      <w:marBottom w:val="0"/>
      <w:divBdr>
        <w:top w:val="none" w:sz="0" w:space="0" w:color="auto"/>
        <w:left w:val="none" w:sz="0" w:space="0" w:color="auto"/>
        <w:bottom w:val="none" w:sz="0" w:space="0" w:color="auto"/>
        <w:right w:val="none" w:sz="0" w:space="0" w:color="auto"/>
      </w:divBdr>
    </w:div>
    <w:div w:id="2037729057">
      <w:bodyDiv w:val="1"/>
      <w:marLeft w:val="0"/>
      <w:marRight w:val="0"/>
      <w:marTop w:val="0"/>
      <w:marBottom w:val="0"/>
      <w:divBdr>
        <w:top w:val="none" w:sz="0" w:space="0" w:color="auto"/>
        <w:left w:val="none" w:sz="0" w:space="0" w:color="auto"/>
        <w:bottom w:val="none" w:sz="0" w:space="0" w:color="auto"/>
        <w:right w:val="none" w:sz="0" w:space="0" w:color="auto"/>
      </w:divBdr>
    </w:div>
    <w:div w:id="21139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2805-6FAF-420F-A01E-D34A2F33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300</cp:revision>
  <cp:lastPrinted>2014-05-20T13:40:00Z</cp:lastPrinted>
  <dcterms:created xsi:type="dcterms:W3CDTF">2013-08-13T11:52:00Z</dcterms:created>
  <dcterms:modified xsi:type="dcterms:W3CDTF">2014-05-29T10:57:00Z</dcterms:modified>
</cp:coreProperties>
</file>